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F87E0" w14:textId="230C2027" w:rsidR="005F643C" w:rsidRPr="009977DA" w:rsidRDefault="005F643C" w:rsidP="005F643C">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3</w:t>
      </w:r>
      <w:r w:rsidRPr="009977DA">
        <w:rPr>
          <w:bCs/>
          <w:noProof w:val="0"/>
          <w:sz w:val="24"/>
          <w:szCs w:val="24"/>
          <w:lang w:val="de-DE"/>
        </w:rPr>
        <w:tab/>
      </w:r>
      <w:r w:rsidR="00836074" w:rsidRPr="00836074">
        <w:rPr>
          <w:bCs/>
          <w:noProof w:val="0"/>
          <w:sz w:val="24"/>
          <w:szCs w:val="24"/>
          <w:lang w:val="de-DE"/>
        </w:rPr>
        <w:t>R4-2418023</w:t>
      </w:r>
    </w:p>
    <w:p w14:paraId="443CB019" w14:textId="025C60DD" w:rsidR="007A710A" w:rsidRPr="00F86E3C" w:rsidRDefault="005F643C" w:rsidP="005F643C">
      <w:pPr>
        <w:pStyle w:val="Header"/>
        <w:rPr>
          <w:bCs/>
          <w:noProof w:val="0"/>
          <w:sz w:val="24"/>
          <w:lang w:val="es-ES" w:eastAsia="ja-JP"/>
        </w:rPr>
      </w:pPr>
      <w:r w:rsidRPr="00F86E3C">
        <w:rPr>
          <w:bCs/>
          <w:noProof w:val="0"/>
          <w:sz w:val="24"/>
          <w:szCs w:val="24"/>
          <w:lang w:val="es-ES"/>
        </w:rPr>
        <w:t>Orlando, USA, Nov 18 – 22, 2024</w:t>
      </w:r>
      <w:bookmarkEnd w:id="0"/>
    </w:p>
    <w:p w14:paraId="673C87F2" w14:textId="77777777" w:rsidR="007A710A" w:rsidRPr="00F86E3C" w:rsidRDefault="007A710A" w:rsidP="007A710A">
      <w:pPr>
        <w:pStyle w:val="CRCoverPage"/>
        <w:rPr>
          <w:rFonts w:cs="Arial"/>
          <w:b/>
          <w:bCs/>
          <w:sz w:val="24"/>
          <w:szCs w:val="24"/>
          <w:lang w:val="es-ES"/>
        </w:rPr>
      </w:pPr>
    </w:p>
    <w:p w14:paraId="18383917" w14:textId="0574617C" w:rsidR="007A710A" w:rsidRPr="00F86E3C" w:rsidRDefault="007A710A" w:rsidP="007A710A">
      <w:pPr>
        <w:pStyle w:val="CRCoverPage"/>
        <w:rPr>
          <w:rFonts w:cs="Arial"/>
          <w:b/>
          <w:bCs/>
          <w:sz w:val="24"/>
          <w:szCs w:val="24"/>
          <w:lang w:val="es-ES" w:eastAsia="ja-JP"/>
        </w:rPr>
      </w:pPr>
      <w:r w:rsidRPr="00F86E3C">
        <w:rPr>
          <w:rFonts w:cs="Arial"/>
          <w:b/>
          <w:bCs/>
          <w:sz w:val="24"/>
          <w:szCs w:val="24"/>
          <w:lang w:val="es-ES"/>
        </w:rPr>
        <w:t xml:space="preserve">Agenda </w:t>
      </w:r>
      <w:proofErr w:type="spellStart"/>
      <w:r w:rsidRPr="00F86E3C">
        <w:rPr>
          <w:rFonts w:cs="Arial"/>
          <w:b/>
          <w:bCs/>
          <w:sz w:val="24"/>
          <w:szCs w:val="24"/>
          <w:lang w:val="es-ES"/>
        </w:rPr>
        <w:t>item</w:t>
      </w:r>
      <w:proofErr w:type="spellEnd"/>
      <w:r w:rsidRPr="00F86E3C">
        <w:rPr>
          <w:rFonts w:cs="Arial"/>
          <w:b/>
          <w:bCs/>
          <w:sz w:val="24"/>
          <w:szCs w:val="24"/>
          <w:lang w:val="es-ES"/>
        </w:rPr>
        <w:t>:</w:t>
      </w:r>
      <w:r w:rsidRPr="00F86E3C">
        <w:rPr>
          <w:rFonts w:cs="Arial"/>
          <w:b/>
          <w:bCs/>
          <w:sz w:val="24"/>
          <w:lang w:val="es-ES"/>
        </w:rPr>
        <w:tab/>
      </w:r>
      <w:r w:rsidRPr="00F86E3C">
        <w:rPr>
          <w:rFonts w:cs="Arial"/>
          <w:b/>
          <w:bCs/>
          <w:sz w:val="24"/>
          <w:lang w:val="es-ES"/>
        </w:rPr>
        <w:tab/>
      </w:r>
      <w:r w:rsidR="004F419D" w:rsidRPr="00F86E3C">
        <w:rPr>
          <w:rFonts w:cs="Arial"/>
          <w:b/>
          <w:bCs/>
          <w:sz w:val="24"/>
          <w:szCs w:val="24"/>
          <w:lang w:val="es-ES"/>
        </w:rPr>
        <w:t>7.20.2.1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3DEB57E6" w14:textId="40CCCFE8" w:rsidR="004C7BFA" w:rsidRPr="00FD7206" w:rsidRDefault="004C7BFA" w:rsidP="004C7BFA">
      <w:r>
        <w:t>A Way Forward was agreed in RAN4#112</w:t>
      </w:r>
      <w:r w:rsidR="00E27FB9">
        <w:t>bis</w:t>
      </w:r>
      <w:r>
        <w:t xml:space="preserve">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772D0096" w14:textId="1B9572F8" w:rsidR="003358A7" w:rsidRPr="003358A7" w:rsidRDefault="004C7BFA" w:rsidP="003358A7">
      <w:pPr>
        <w:pStyle w:val="Heading2"/>
      </w:pPr>
      <w:r w:rsidRPr="004C7BFA">
        <w:rPr>
          <w:lang w:val="en-US"/>
        </w:rPr>
        <w:t>BS RF Specification structure for SBFD requirements</w:t>
      </w:r>
    </w:p>
    <w:p w14:paraId="794B6002" w14:textId="11CD1597" w:rsidR="004C7BFA" w:rsidRDefault="004C7BFA" w:rsidP="004C7BFA">
      <w:pPr>
        <w:pStyle w:val="B3"/>
        <w:ind w:left="0" w:firstLine="0"/>
        <w:rPr>
          <w:lang w:val="en-US" w:eastAsia="zh-CN"/>
        </w:rPr>
      </w:pPr>
      <w:r>
        <w:rPr>
          <w:lang w:val="en-US" w:eastAsia="zh-CN"/>
        </w:rPr>
        <w:t>The following was agreed in RAN4#112</w:t>
      </w:r>
      <w:r w:rsidR="00E27FB9">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4C7BFA" w14:paraId="2CEA6EB4" w14:textId="77777777" w:rsidTr="004C7BFA">
        <w:tc>
          <w:tcPr>
            <w:tcW w:w="9629" w:type="dxa"/>
          </w:tcPr>
          <w:p w14:paraId="3A0785BC" w14:textId="77777777" w:rsidR="00E27FB9" w:rsidRPr="00F0023D" w:rsidRDefault="00E27FB9" w:rsidP="00E27FB9">
            <w:pPr>
              <w:spacing w:after="120" w:line="259" w:lineRule="auto"/>
              <w:rPr>
                <w:lang w:val="en-US"/>
              </w:rPr>
            </w:pPr>
            <w:r>
              <w:rPr>
                <w:lang w:val="en-US"/>
              </w:rPr>
              <w:t>Way Forward</w:t>
            </w:r>
            <w:r w:rsidRPr="00F0023D">
              <w:rPr>
                <w:lang w:val="en-US"/>
              </w:rPr>
              <w:t xml:space="preserve">: </w:t>
            </w:r>
          </w:p>
          <w:p w14:paraId="4DA25BA2" w14:textId="77777777" w:rsidR="00E27FB9" w:rsidRPr="00E27FB9" w:rsidRDefault="00E27FB9" w:rsidP="00E27FB9">
            <w:pPr>
              <w:pStyle w:val="ListParagraph"/>
              <w:numPr>
                <w:ilvl w:val="0"/>
                <w:numId w:val="26"/>
              </w:numPr>
              <w:spacing w:after="120" w:line="259" w:lineRule="auto"/>
              <w:contextualSpacing w:val="0"/>
              <w:rPr>
                <w:sz w:val="20"/>
                <w:szCs w:val="20"/>
                <w:lang w:val="en-US"/>
              </w:rPr>
            </w:pPr>
            <w:r w:rsidRPr="00E27FB9">
              <w:rPr>
                <w:sz w:val="20"/>
                <w:szCs w:val="20"/>
                <w:lang w:val="en-US"/>
              </w:rPr>
              <w:t xml:space="preserve">FFS options of how to introduce BS RF new requirements for SBFD-capable BS: </w:t>
            </w:r>
          </w:p>
          <w:p w14:paraId="68A223A0" w14:textId="77777777" w:rsidR="00E27FB9" w:rsidRPr="00E27FB9" w:rsidRDefault="00E27FB9" w:rsidP="00E27FB9">
            <w:pPr>
              <w:pStyle w:val="ListParagraph"/>
              <w:numPr>
                <w:ilvl w:val="1"/>
                <w:numId w:val="26"/>
              </w:numPr>
              <w:spacing w:after="120" w:line="259" w:lineRule="auto"/>
              <w:contextualSpacing w:val="0"/>
              <w:rPr>
                <w:sz w:val="20"/>
                <w:szCs w:val="20"/>
                <w:lang w:val="en-US"/>
              </w:rPr>
            </w:pPr>
            <w:bookmarkStart w:id="3" w:name="_Hlk179929515"/>
            <w:r w:rsidRPr="00E27FB9">
              <w:rPr>
                <w:sz w:val="20"/>
                <w:szCs w:val="20"/>
                <w:lang w:val="en-US"/>
              </w:rPr>
              <w:t>Option-2: Creating new sub-clauses in TS 38.104 for RF requirements that applies for SBFD</w:t>
            </w:r>
          </w:p>
          <w:p w14:paraId="57387B99" w14:textId="60709658" w:rsidR="004C7BFA" w:rsidRPr="00E27FB9" w:rsidRDefault="00E27FB9" w:rsidP="00E27FB9">
            <w:pPr>
              <w:pStyle w:val="ListParagraph"/>
              <w:numPr>
                <w:ilvl w:val="1"/>
                <w:numId w:val="26"/>
              </w:numPr>
              <w:spacing w:after="120" w:line="259" w:lineRule="auto"/>
              <w:contextualSpacing w:val="0"/>
              <w:rPr>
                <w:lang w:val="en-US"/>
              </w:rPr>
            </w:pPr>
            <w:r w:rsidRPr="00E27FB9">
              <w:rPr>
                <w:sz w:val="20"/>
                <w:szCs w:val="20"/>
                <w:lang w:val="en-US"/>
              </w:rPr>
              <w:t>Option-3: A new specification for SBFD BS RF requirements</w:t>
            </w:r>
            <w:bookmarkEnd w:id="3"/>
          </w:p>
        </w:tc>
      </w:tr>
    </w:tbl>
    <w:p w14:paraId="70C7A41A" w14:textId="77777777" w:rsidR="004C7BFA" w:rsidRPr="004C7BFA" w:rsidRDefault="004C7BFA" w:rsidP="00CC71CF">
      <w:pPr>
        <w:pStyle w:val="Heading4"/>
        <w:numPr>
          <w:ilvl w:val="0"/>
          <w:numId w:val="0"/>
        </w:numPr>
        <w:rPr>
          <w:rFonts w:ascii="Times New Roman" w:hAnsi="Times New Roman"/>
          <w:sz w:val="20"/>
          <w:lang w:val="en-US"/>
        </w:rPr>
      </w:pPr>
    </w:p>
    <w:p w14:paraId="347395EB" w14:textId="5EB63546" w:rsidR="00F51FCF" w:rsidRPr="00513282" w:rsidRDefault="009B6EA2" w:rsidP="00F51FCF">
      <w:pPr>
        <w:pStyle w:val="Heading4"/>
        <w:numPr>
          <w:ilvl w:val="0"/>
          <w:numId w:val="0"/>
        </w:numPr>
        <w:rPr>
          <w:rFonts w:ascii="Times New Roman" w:hAnsi="Times New Roman"/>
          <w:sz w:val="20"/>
        </w:rPr>
      </w:pPr>
      <w:r w:rsidRPr="004D2FA3">
        <w:rPr>
          <w:rFonts w:ascii="Times New Roman" w:hAnsi="Times New Roman"/>
          <w:sz w:val="20"/>
        </w:rPr>
        <w:t>H</w:t>
      </w:r>
      <w:r w:rsidR="0026241B" w:rsidRPr="004D2FA3">
        <w:rPr>
          <w:rFonts w:ascii="Times New Roman" w:hAnsi="Times New Roman"/>
          <w:sz w:val="20"/>
        </w:rPr>
        <w:t>ow</w:t>
      </w:r>
      <w:r w:rsidR="00CE5DF0" w:rsidRPr="004D2FA3">
        <w:rPr>
          <w:rFonts w:ascii="Times New Roman" w:hAnsi="Times New Roman"/>
          <w:sz w:val="20"/>
        </w:rPr>
        <w:t xml:space="preserve"> to introduce BS RF new requirements for SBFD-capable BS </w:t>
      </w:r>
      <w:r w:rsidRPr="004D2FA3">
        <w:rPr>
          <w:rFonts w:ascii="Times New Roman" w:hAnsi="Times New Roman"/>
          <w:sz w:val="20"/>
        </w:rPr>
        <w:t xml:space="preserve">has also been under discussion </w:t>
      </w:r>
      <w:r w:rsidR="000A3613" w:rsidRPr="004D2FA3">
        <w:rPr>
          <w:rFonts w:ascii="Times New Roman" w:hAnsi="Times New Roman"/>
          <w:sz w:val="20"/>
        </w:rPr>
        <w:t>during the last meetings</w:t>
      </w:r>
      <w:r w:rsidR="00CE5DF0" w:rsidRPr="004D2FA3">
        <w:rPr>
          <w:rFonts w:ascii="Times New Roman" w:hAnsi="Times New Roman"/>
          <w:sz w:val="20"/>
        </w:rPr>
        <w:t>.</w:t>
      </w:r>
      <w:r w:rsidR="000A3613" w:rsidRPr="004D2FA3">
        <w:rPr>
          <w:rFonts w:ascii="Times New Roman" w:hAnsi="Times New Roman"/>
          <w:sz w:val="20"/>
        </w:rPr>
        <w:t xml:space="preserve"> The WF presents t</w:t>
      </w:r>
      <w:r w:rsidR="00FC5D55">
        <w:rPr>
          <w:rFonts w:ascii="Times New Roman" w:hAnsi="Times New Roman"/>
          <w:sz w:val="20"/>
        </w:rPr>
        <w:t>wo</w:t>
      </w:r>
      <w:r w:rsidR="000A3613" w:rsidRPr="004D2FA3">
        <w:rPr>
          <w:rFonts w:ascii="Times New Roman" w:hAnsi="Times New Roman"/>
          <w:sz w:val="20"/>
        </w:rPr>
        <w:t xml:space="preserve"> options </w:t>
      </w:r>
      <w:r w:rsidR="001B395D" w:rsidRPr="004D2FA3">
        <w:rPr>
          <w:rFonts w:ascii="Times New Roman" w:hAnsi="Times New Roman"/>
          <w:sz w:val="20"/>
        </w:rPr>
        <w:t xml:space="preserve">and we </w:t>
      </w:r>
      <w:r w:rsidR="003C08B7">
        <w:rPr>
          <w:rFonts w:ascii="Times New Roman" w:hAnsi="Times New Roman"/>
          <w:sz w:val="20"/>
        </w:rPr>
        <w:t xml:space="preserve">consider </w:t>
      </w:r>
      <w:r w:rsidR="002E0F2C">
        <w:rPr>
          <w:rFonts w:ascii="Times New Roman" w:hAnsi="Times New Roman"/>
          <w:sz w:val="20"/>
        </w:rPr>
        <w:t>as best solution to choose</w:t>
      </w:r>
      <w:r w:rsidR="001B395D" w:rsidRPr="004D2FA3">
        <w:rPr>
          <w:rFonts w:ascii="Times New Roman" w:hAnsi="Times New Roman"/>
          <w:sz w:val="20"/>
        </w:rPr>
        <w:t xml:space="preserve"> option</w:t>
      </w:r>
      <w:r w:rsidR="00FC5D55">
        <w:rPr>
          <w:rFonts w:ascii="Times New Roman" w:hAnsi="Times New Roman"/>
          <w:sz w:val="20"/>
        </w:rPr>
        <w:t>-3</w:t>
      </w:r>
      <w:r w:rsidR="001B395D" w:rsidRPr="004D2FA3">
        <w:rPr>
          <w:rFonts w:ascii="Times New Roman" w:hAnsi="Times New Roman"/>
          <w:sz w:val="20"/>
        </w:rPr>
        <w:t>.</w:t>
      </w:r>
      <w:r w:rsidR="009A3D74" w:rsidRPr="004D2FA3">
        <w:rPr>
          <w:rFonts w:ascii="Times New Roman" w:hAnsi="Times New Roman"/>
          <w:sz w:val="20"/>
        </w:rPr>
        <w:t xml:space="preserve"> </w:t>
      </w:r>
      <w:r w:rsidR="00FC5D55">
        <w:rPr>
          <w:rFonts w:ascii="Times New Roman" w:hAnsi="Times New Roman"/>
          <w:sz w:val="20"/>
        </w:rPr>
        <w:t xml:space="preserve">SBFD </w:t>
      </w:r>
      <w:r w:rsidR="00993091">
        <w:rPr>
          <w:rFonts w:ascii="Times New Roman" w:hAnsi="Times New Roman"/>
          <w:sz w:val="20"/>
        </w:rPr>
        <w:t xml:space="preserve">would be better handled in a completely new specification as is already done for </w:t>
      </w:r>
      <w:r w:rsidR="002E0F2C">
        <w:rPr>
          <w:rFonts w:ascii="Times New Roman" w:hAnsi="Times New Roman"/>
          <w:sz w:val="20"/>
        </w:rPr>
        <w:t xml:space="preserve">example for IAB, </w:t>
      </w:r>
      <w:r w:rsidR="00B12F01">
        <w:rPr>
          <w:rFonts w:ascii="Times New Roman" w:hAnsi="Times New Roman"/>
          <w:sz w:val="20"/>
        </w:rPr>
        <w:t xml:space="preserve">repeaters and satellite access nodes. SBFD is </w:t>
      </w:r>
      <w:r w:rsidR="006B7D9E">
        <w:rPr>
          <w:rFonts w:ascii="Times New Roman" w:hAnsi="Times New Roman"/>
          <w:sz w:val="20"/>
        </w:rPr>
        <w:t xml:space="preserve">not only </w:t>
      </w:r>
      <w:r w:rsidR="005C0B36">
        <w:rPr>
          <w:rFonts w:ascii="Times New Roman" w:hAnsi="Times New Roman"/>
          <w:sz w:val="20"/>
        </w:rPr>
        <w:t>just an</w:t>
      </w:r>
      <w:r w:rsidR="006B7D9E">
        <w:rPr>
          <w:rFonts w:ascii="Times New Roman" w:hAnsi="Times New Roman"/>
          <w:sz w:val="20"/>
        </w:rPr>
        <w:t xml:space="preserve"> enhancement to </w:t>
      </w:r>
      <w:proofErr w:type="gramStart"/>
      <w:r w:rsidR="006B7D9E">
        <w:rPr>
          <w:rFonts w:ascii="Times New Roman" w:hAnsi="Times New Roman"/>
          <w:sz w:val="20"/>
        </w:rPr>
        <w:t>TDD</w:t>
      </w:r>
      <w:proofErr w:type="gramEnd"/>
      <w:r w:rsidR="006B7D9E">
        <w:rPr>
          <w:rFonts w:ascii="Times New Roman" w:hAnsi="Times New Roman"/>
          <w:sz w:val="20"/>
        </w:rPr>
        <w:t xml:space="preserve"> but it </w:t>
      </w:r>
      <w:r w:rsidR="00367E56">
        <w:rPr>
          <w:rFonts w:ascii="Times New Roman" w:hAnsi="Times New Roman"/>
          <w:sz w:val="20"/>
        </w:rPr>
        <w:t>is also combining the full duplexing of FDD systems.</w:t>
      </w:r>
      <w:r w:rsidR="003B2B2F">
        <w:rPr>
          <w:rFonts w:ascii="Times New Roman" w:hAnsi="Times New Roman"/>
          <w:sz w:val="20"/>
        </w:rPr>
        <w:t xml:space="preserve"> SBFD-capable FR1 WA BS </w:t>
      </w:r>
      <w:r w:rsidR="006C6DB6">
        <w:rPr>
          <w:rFonts w:ascii="Times New Roman" w:hAnsi="Times New Roman"/>
          <w:sz w:val="20"/>
        </w:rPr>
        <w:t xml:space="preserve">must </w:t>
      </w:r>
      <w:r w:rsidR="003B2B2F">
        <w:rPr>
          <w:rFonts w:ascii="Times New Roman" w:hAnsi="Times New Roman"/>
          <w:sz w:val="20"/>
        </w:rPr>
        <w:t>use separate</w:t>
      </w:r>
      <w:r w:rsidR="00015C30">
        <w:rPr>
          <w:rFonts w:ascii="Times New Roman" w:hAnsi="Times New Roman"/>
          <w:sz w:val="20"/>
        </w:rPr>
        <w:t xml:space="preserve"> antenna</w:t>
      </w:r>
      <w:r w:rsidR="003B2B2F">
        <w:rPr>
          <w:rFonts w:ascii="Times New Roman" w:hAnsi="Times New Roman"/>
          <w:sz w:val="20"/>
        </w:rPr>
        <w:t xml:space="preserve"> panels </w:t>
      </w:r>
      <w:r w:rsidR="00015C30">
        <w:rPr>
          <w:rFonts w:ascii="Times New Roman" w:hAnsi="Times New Roman"/>
          <w:sz w:val="20"/>
        </w:rPr>
        <w:t>for transmitting and receiving</w:t>
      </w:r>
      <w:r w:rsidR="00F34B2E">
        <w:rPr>
          <w:rFonts w:ascii="Times New Roman" w:hAnsi="Times New Roman"/>
          <w:sz w:val="20"/>
        </w:rPr>
        <w:t xml:space="preserve"> and there is no agreed implementation for SBFD-capable BS</w:t>
      </w:r>
      <w:r w:rsidR="0048500E">
        <w:rPr>
          <w:rFonts w:ascii="Times New Roman" w:hAnsi="Times New Roman"/>
          <w:sz w:val="20"/>
        </w:rPr>
        <w:t>.</w:t>
      </w:r>
      <w:r w:rsidR="00DC3550">
        <w:rPr>
          <w:rFonts w:ascii="Times New Roman" w:hAnsi="Times New Roman"/>
          <w:sz w:val="20"/>
        </w:rPr>
        <w:t xml:space="preserve"> SBFD system</w:t>
      </w:r>
      <w:r w:rsidR="00CA5642">
        <w:rPr>
          <w:rFonts w:ascii="Times New Roman" w:hAnsi="Times New Roman"/>
          <w:sz w:val="20"/>
        </w:rPr>
        <w:t xml:space="preserve"> also</w:t>
      </w:r>
      <w:r w:rsidR="00DC3550">
        <w:rPr>
          <w:rFonts w:ascii="Times New Roman" w:hAnsi="Times New Roman"/>
          <w:sz w:val="20"/>
        </w:rPr>
        <w:t xml:space="preserve"> require</w:t>
      </w:r>
      <w:r w:rsidR="00CA5642">
        <w:rPr>
          <w:rFonts w:ascii="Times New Roman" w:hAnsi="Times New Roman"/>
          <w:sz w:val="20"/>
        </w:rPr>
        <w:t>s</w:t>
      </w:r>
      <w:r w:rsidR="00DC3550">
        <w:rPr>
          <w:rFonts w:ascii="Times New Roman" w:hAnsi="Times New Roman"/>
          <w:sz w:val="20"/>
        </w:rPr>
        <w:t xml:space="preserve"> </w:t>
      </w:r>
      <w:r w:rsidR="00CA5642">
        <w:rPr>
          <w:rFonts w:ascii="Times New Roman" w:hAnsi="Times New Roman"/>
          <w:sz w:val="20"/>
        </w:rPr>
        <w:t xml:space="preserve">highly </w:t>
      </w:r>
      <w:r w:rsidR="00DC3550">
        <w:rPr>
          <w:rFonts w:ascii="Times New Roman" w:hAnsi="Times New Roman"/>
          <w:sz w:val="20"/>
        </w:rPr>
        <w:t xml:space="preserve">advanced </w:t>
      </w:r>
      <w:r w:rsidR="00CA5642">
        <w:rPr>
          <w:rFonts w:ascii="Times New Roman" w:hAnsi="Times New Roman"/>
          <w:sz w:val="20"/>
        </w:rPr>
        <w:t xml:space="preserve">and complex </w:t>
      </w:r>
      <w:r w:rsidR="00DC3550">
        <w:rPr>
          <w:rFonts w:ascii="Times New Roman" w:hAnsi="Times New Roman"/>
          <w:sz w:val="20"/>
        </w:rPr>
        <w:t>interference cancellation mechanism</w:t>
      </w:r>
      <w:r w:rsidR="00ED3BDD">
        <w:rPr>
          <w:rFonts w:ascii="Times New Roman" w:hAnsi="Times New Roman"/>
          <w:sz w:val="20"/>
        </w:rPr>
        <w:t>s and isolation materials to be used</w:t>
      </w:r>
      <w:r w:rsidR="001D2862">
        <w:rPr>
          <w:rFonts w:ascii="Times New Roman" w:hAnsi="Times New Roman"/>
          <w:sz w:val="20"/>
        </w:rPr>
        <w:t xml:space="preserve"> between antenna panels and</w:t>
      </w:r>
      <w:r w:rsidR="00956CBC">
        <w:rPr>
          <w:rFonts w:ascii="Times New Roman" w:hAnsi="Times New Roman"/>
          <w:sz w:val="20"/>
        </w:rPr>
        <w:t xml:space="preserve"> </w:t>
      </w:r>
      <w:r w:rsidR="001D2862">
        <w:rPr>
          <w:rFonts w:ascii="Times New Roman" w:hAnsi="Times New Roman"/>
          <w:sz w:val="20"/>
        </w:rPr>
        <w:t xml:space="preserve">sectors to protect </w:t>
      </w:r>
      <w:r w:rsidR="00031BB4">
        <w:rPr>
          <w:rFonts w:ascii="Times New Roman" w:hAnsi="Times New Roman"/>
          <w:sz w:val="20"/>
        </w:rPr>
        <w:t>the receiver from excessive interference</w:t>
      </w:r>
      <w:r w:rsidR="00ED3BDD">
        <w:rPr>
          <w:rFonts w:ascii="Times New Roman" w:hAnsi="Times New Roman"/>
          <w:sz w:val="20"/>
        </w:rPr>
        <w:t>.</w:t>
      </w:r>
      <w:r w:rsidR="00367E56">
        <w:rPr>
          <w:rFonts w:ascii="Times New Roman" w:hAnsi="Times New Roman"/>
          <w:sz w:val="20"/>
        </w:rPr>
        <w:t xml:space="preserve"> This makes it very </w:t>
      </w:r>
      <w:r w:rsidR="00CE56AC">
        <w:rPr>
          <w:rFonts w:ascii="Times New Roman" w:hAnsi="Times New Roman"/>
          <w:sz w:val="20"/>
        </w:rPr>
        <w:t>crucial t</w:t>
      </w:r>
      <w:r w:rsidR="00ED3BDD">
        <w:rPr>
          <w:rFonts w:ascii="Times New Roman" w:hAnsi="Times New Roman"/>
          <w:sz w:val="20"/>
        </w:rPr>
        <w:t xml:space="preserve">o ensure </w:t>
      </w:r>
      <w:r w:rsidR="00CE56AC">
        <w:rPr>
          <w:rFonts w:ascii="Times New Roman" w:hAnsi="Times New Roman"/>
          <w:sz w:val="20"/>
        </w:rPr>
        <w:t>there is no mix</w:t>
      </w:r>
      <w:r w:rsidR="00ED3BDD">
        <w:rPr>
          <w:rFonts w:ascii="Times New Roman" w:hAnsi="Times New Roman"/>
          <w:sz w:val="20"/>
        </w:rPr>
        <w:t>-</w:t>
      </w:r>
      <w:r w:rsidR="00CE56AC">
        <w:rPr>
          <w:rFonts w:ascii="Times New Roman" w:hAnsi="Times New Roman"/>
          <w:sz w:val="20"/>
        </w:rPr>
        <w:t>up in the requirements between TDD and SBFD. SBFD has als</w:t>
      </w:r>
      <w:r w:rsidR="000C3095">
        <w:rPr>
          <w:rFonts w:ascii="Times New Roman" w:hAnsi="Times New Roman"/>
          <w:sz w:val="20"/>
        </w:rPr>
        <w:t>o</w:t>
      </w:r>
      <w:r w:rsidR="00CE56AC">
        <w:rPr>
          <w:rFonts w:ascii="Times New Roman" w:hAnsi="Times New Roman"/>
          <w:sz w:val="20"/>
        </w:rPr>
        <w:t xml:space="preserve"> limitations where it </w:t>
      </w:r>
      <w:r w:rsidR="00F60867">
        <w:rPr>
          <w:rFonts w:ascii="Times New Roman" w:hAnsi="Times New Roman"/>
          <w:sz w:val="20"/>
        </w:rPr>
        <w:t>is</w:t>
      </w:r>
      <w:r w:rsidR="00CE56AC">
        <w:rPr>
          <w:rFonts w:ascii="Times New Roman" w:hAnsi="Times New Roman"/>
          <w:sz w:val="20"/>
        </w:rPr>
        <w:t xml:space="preserve"> feasible to use</w:t>
      </w:r>
      <w:r w:rsidR="00F60867">
        <w:rPr>
          <w:rFonts w:ascii="Times New Roman" w:hAnsi="Times New Roman"/>
          <w:sz w:val="20"/>
        </w:rPr>
        <w:t xml:space="preserve"> and there are </w:t>
      </w:r>
      <w:r w:rsidR="005C0B36">
        <w:rPr>
          <w:rFonts w:ascii="Times New Roman" w:hAnsi="Times New Roman"/>
          <w:sz w:val="20"/>
        </w:rPr>
        <w:t>discussion</w:t>
      </w:r>
      <w:r w:rsidR="000E7EB6">
        <w:rPr>
          <w:rFonts w:ascii="Times New Roman" w:hAnsi="Times New Roman"/>
          <w:sz w:val="20"/>
        </w:rPr>
        <w:t>s</w:t>
      </w:r>
      <w:r w:rsidR="005C0B36">
        <w:rPr>
          <w:rFonts w:ascii="Times New Roman" w:hAnsi="Times New Roman"/>
          <w:sz w:val="20"/>
        </w:rPr>
        <w:t xml:space="preserve"> ongoing </w:t>
      </w:r>
      <w:r w:rsidR="00EE6A78">
        <w:rPr>
          <w:rFonts w:ascii="Times New Roman" w:hAnsi="Times New Roman"/>
          <w:sz w:val="20"/>
        </w:rPr>
        <w:t>for different</w:t>
      </w:r>
      <w:r w:rsidR="00684860">
        <w:rPr>
          <w:rFonts w:ascii="Times New Roman" w:hAnsi="Times New Roman"/>
          <w:sz w:val="20"/>
        </w:rPr>
        <w:t xml:space="preserve"> RF</w:t>
      </w:r>
      <w:r w:rsidR="00EE6A78">
        <w:rPr>
          <w:rFonts w:ascii="Times New Roman" w:hAnsi="Times New Roman"/>
          <w:sz w:val="20"/>
        </w:rPr>
        <w:t xml:space="preserve"> requirements for different scenarios which might be very confusing to the reader.</w:t>
      </w:r>
      <w:r w:rsidR="00684860">
        <w:rPr>
          <w:rFonts w:ascii="Times New Roman" w:hAnsi="Times New Roman"/>
          <w:sz w:val="20"/>
        </w:rPr>
        <w:t xml:space="preserve"> One could not be sure what requirements are valid for which systems and </w:t>
      </w:r>
      <w:r w:rsidR="00413906">
        <w:rPr>
          <w:rFonts w:ascii="Times New Roman" w:hAnsi="Times New Roman"/>
          <w:sz w:val="20"/>
        </w:rPr>
        <w:t>possibility for error would be highly increased.</w:t>
      </w:r>
      <w:r w:rsidR="003E6CD1">
        <w:rPr>
          <w:rFonts w:ascii="Times New Roman" w:hAnsi="Times New Roman"/>
          <w:sz w:val="20"/>
        </w:rPr>
        <w:t xml:space="preserve"> Therefore, we see that the best option for SBFD would be to have a new specification for it.</w:t>
      </w:r>
      <w:r w:rsidR="002E0F2C">
        <w:rPr>
          <w:rFonts w:ascii="Times New Roman" w:hAnsi="Times New Roman"/>
          <w:sz w:val="20"/>
        </w:rPr>
        <w:t xml:space="preserve"> T</w:t>
      </w:r>
      <w:r w:rsidR="00BE0CE3">
        <w:rPr>
          <w:rFonts w:ascii="Times New Roman" w:hAnsi="Times New Roman"/>
          <w:sz w:val="20"/>
        </w:rPr>
        <w:t>here should not be bigger effort with maintenance of new specifications, as with separate specification</w:t>
      </w:r>
      <w:r w:rsidR="004E259E">
        <w:rPr>
          <w:rFonts w:ascii="Times New Roman" w:hAnsi="Times New Roman"/>
          <w:sz w:val="20"/>
        </w:rPr>
        <w:t>s</w:t>
      </w:r>
      <w:r w:rsidR="00BE0CE3">
        <w:rPr>
          <w:rFonts w:ascii="Times New Roman" w:hAnsi="Times New Roman"/>
          <w:sz w:val="20"/>
        </w:rPr>
        <w:t xml:space="preserve"> </w:t>
      </w:r>
      <w:r w:rsidR="00984E31">
        <w:rPr>
          <w:rFonts w:ascii="Times New Roman" w:hAnsi="Times New Roman"/>
          <w:sz w:val="20"/>
        </w:rPr>
        <w:t>all SBFD related requirements will be in one place</w:t>
      </w:r>
      <w:r w:rsidR="00A73BD3">
        <w:rPr>
          <w:rFonts w:ascii="Times New Roman" w:hAnsi="Times New Roman"/>
          <w:sz w:val="20"/>
        </w:rPr>
        <w:t xml:space="preserve">, maintenance even may be easier </w:t>
      </w:r>
      <w:r w:rsidR="003B1A78">
        <w:rPr>
          <w:rFonts w:ascii="Times New Roman" w:hAnsi="Times New Roman"/>
          <w:sz w:val="20"/>
        </w:rPr>
        <w:t>with separate specifications.</w:t>
      </w:r>
      <w:r w:rsidR="00A73BD3">
        <w:rPr>
          <w:rFonts w:ascii="Times New Roman" w:hAnsi="Times New Roman"/>
          <w:sz w:val="20"/>
        </w:rPr>
        <w:t xml:space="preserve"> </w:t>
      </w:r>
      <w:r w:rsidR="00984E31">
        <w:rPr>
          <w:rFonts w:ascii="Times New Roman" w:hAnsi="Times New Roman"/>
          <w:sz w:val="20"/>
        </w:rPr>
        <w:t xml:space="preserve"> </w:t>
      </w:r>
      <w:r w:rsidR="00580740">
        <w:rPr>
          <w:rFonts w:ascii="Times New Roman" w:hAnsi="Times New Roman"/>
          <w:sz w:val="20"/>
        </w:rPr>
        <w:t xml:space="preserve"> </w:t>
      </w:r>
      <w:r w:rsidR="003E6CD1">
        <w:rPr>
          <w:rFonts w:ascii="Times New Roman" w:hAnsi="Times New Roman"/>
          <w:sz w:val="20"/>
        </w:rPr>
        <w:t xml:space="preserve"> </w:t>
      </w:r>
    </w:p>
    <w:p w14:paraId="4119696E" w14:textId="4C9B754B" w:rsidR="00CC71CF" w:rsidRPr="00513282" w:rsidRDefault="007E5ABE" w:rsidP="00EF2F85">
      <w:pPr>
        <w:pStyle w:val="Proposal"/>
      </w:pPr>
      <w:r>
        <w:t xml:space="preserve"> </w:t>
      </w:r>
      <w:r w:rsidR="00CC71CF" w:rsidRPr="00513282">
        <w:t xml:space="preserve">For introduction of </w:t>
      </w:r>
      <w:r w:rsidR="00EF2F85" w:rsidRPr="00513282">
        <w:t xml:space="preserve">new </w:t>
      </w:r>
      <w:r w:rsidR="00CC71CF" w:rsidRPr="00513282">
        <w:t>BS RF requirements</w:t>
      </w:r>
      <w:r w:rsidR="00EF2F85" w:rsidRPr="00513282">
        <w:t xml:space="preserve"> for SBFD operation,</w:t>
      </w:r>
      <w:r w:rsidR="00CC71CF" w:rsidRPr="00513282">
        <w:t xml:space="preserve"> </w:t>
      </w:r>
      <w:r w:rsidR="00060F9C" w:rsidRPr="00513282">
        <w:t xml:space="preserve">solution with </w:t>
      </w:r>
      <w:r w:rsidR="00CC71CF" w:rsidRPr="00513282">
        <w:t xml:space="preserve">creating new </w:t>
      </w:r>
      <w:r w:rsidR="00E36E0A">
        <w:t xml:space="preserve">specification </w:t>
      </w:r>
      <w:r w:rsidR="00CC71CF" w:rsidRPr="00513282">
        <w:t>is proposed</w:t>
      </w:r>
      <w:r w:rsidR="00CE394F">
        <w:t xml:space="preserve"> (option 3)</w:t>
      </w:r>
      <w:r w:rsidR="00CC71CF" w:rsidRPr="00513282">
        <w:t xml:space="preserve">. </w:t>
      </w:r>
    </w:p>
    <w:p w14:paraId="2A8AABB6" w14:textId="77777777" w:rsidR="00D2290B" w:rsidRPr="00001435" w:rsidRDefault="00D2290B" w:rsidP="00D2290B">
      <w:pPr>
        <w:rPr>
          <w:lang w:val="en-US"/>
        </w:rPr>
      </w:pPr>
    </w:p>
    <w:p w14:paraId="040DD4C9" w14:textId="15A26897" w:rsidR="00E27FB9" w:rsidRDefault="00ED291D" w:rsidP="00D00BB4">
      <w:pPr>
        <w:pStyle w:val="Heading2"/>
        <w:rPr>
          <w:lang w:val="en-US"/>
        </w:rPr>
      </w:pPr>
      <w:r w:rsidRPr="00ED291D">
        <w:rPr>
          <w:lang w:val="en-US"/>
        </w:rPr>
        <w:lastRenderedPageBreak/>
        <w:t>Transient period requirement</w:t>
      </w:r>
      <w:r w:rsidR="003168E8">
        <w:rPr>
          <w:lang w:val="en-US"/>
        </w:rPr>
        <w:t>s</w:t>
      </w:r>
    </w:p>
    <w:p w14:paraId="6F41B1D0" w14:textId="01F186D6" w:rsidR="00E27FB9" w:rsidRDefault="00E27FB9" w:rsidP="00E27FB9">
      <w:pPr>
        <w:pStyle w:val="B3"/>
        <w:ind w:left="0" w:firstLine="0"/>
        <w:rPr>
          <w:lang w:val="en-US" w:eastAsia="zh-CN"/>
        </w:rPr>
      </w:pPr>
      <w:r>
        <w:rPr>
          <w:lang w:val="en-US" w:eastAsia="zh-CN"/>
        </w:rPr>
        <w:t>The following was agreed in RAN4#112bis:</w:t>
      </w:r>
    </w:p>
    <w:tbl>
      <w:tblPr>
        <w:tblStyle w:val="TableGrid"/>
        <w:tblW w:w="0" w:type="auto"/>
        <w:tblLook w:val="04A0" w:firstRow="1" w:lastRow="0" w:firstColumn="1" w:lastColumn="0" w:noHBand="0" w:noVBand="1"/>
      </w:tblPr>
      <w:tblGrid>
        <w:gridCol w:w="9629"/>
      </w:tblGrid>
      <w:tr w:rsidR="00E27FB9" w14:paraId="639B6A8E" w14:textId="77777777" w:rsidTr="00E27FB9">
        <w:tc>
          <w:tcPr>
            <w:tcW w:w="9629" w:type="dxa"/>
          </w:tcPr>
          <w:p w14:paraId="2A47700E" w14:textId="77777777" w:rsidR="00E27FB9" w:rsidRPr="00793B30" w:rsidRDefault="00E27FB9" w:rsidP="00E27FB9">
            <w:pPr>
              <w:spacing w:after="120" w:line="259" w:lineRule="auto"/>
              <w:rPr>
                <w:lang w:val="en-US"/>
              </w:rPr>
            </w:pPr>
            <w:r>
              <w:rPr>
                <w:lang w:val="en-US"/>
              </w:rPr>
              <w:t>Way Forward</w:t>
            </w:r>
            <w:r w:rsidRPr="00F0023D">
              <w:rPr>
                <w:lang w:val="en-US"/>
              </w:rPr>
              <w:t xml:space="preserve">: </w:t>
            </w:r>
          </w:p>
          <w:p w14:paraId="73822A3D" w14:textId="56DD3051" w:rsidR="00E27FB9" w:rsidRPr="00E27FB9" w:rsidRDefault="00E27FB9" w:rsidP="00E27FB9">
            <w:pPr>
              <w:pStyle w:val="ListParagraph"/>
              <w:numPr>
                <w:ilvl w:val="0"/>
                <w:numId w:val="19"/>
              </w:numPr>
              <w:spacing w:after="120" w:line="259" w:lineRule="auto"/>
              <w:contextualSpacing w:val="0"/>
              <w:rPr>
                <w:lang w:val="en-US"/>
              </w:rPr>
            </w:pPr>
            <w:r w:rsidRPr="00E27FB9">
              <w:rPr>
                <w:sz w:val="20"/>
                <w:szCs w:val="20"/>
                <w:lang w:val="en-US"/>
              </w:rPr>
              <w:t>FFS the text proposal for the clause of transmitter transient period for SBFD, e.g., the example provided in R4-2416498.</w:t>
            </w:r>
          </w:p>
        </w:tc>
      </w:tr>
    </w:tbl>
    <w:p w14:paraId="6FB9C1EE" w14:textId="77777777" w:rsidR="00E27FB9" w:rsidRDefault="00E27FB9" w:rsidP="00E27FB9">
      <w:pPr>
        <w:pStyle w:val="B3"/>
        <w:ind w:left="0" w:firstLine="0"/>
        <w:rPr>
          <w:lang w:val="en-US" w:eastAsia="zh-CN"/>
        </w:rPr>
      </w:pPr>
    </w:p>
    <w:p w14:paraId="73ED6CED" w14:textId="5973F8FF" w:rsidR="00E75BAA" w:rsidRDefault="00F903A5" w:rsidP="00E27FB9">
      <w:pPr>
        <w:rPr>
          <w:lang w:val="en-US"/>
        </w:rPr>
      </w:pPr>
      <w:r w:rsidRPr="00A90032">
        <w:rPr>
          <w:lang w:val="en-US" w:eastAsia="zh-CN"/>
        </w:rPr>
        <w:t>We think a te</w:t>
      </w:r>
      <w:r w:rsidR="00DE0586">
        <w:rPr>
          <w:lang w:val="en-US" w:eastAsia="zh-CN"/>
        </w:rPr>
        <w:t>xt proposal should be first agreed once there is a</w:t>
      </w:r>
      <w:r w:rsidR="002C0BD7">
        <w:rPr>
          <w:lang w:val="en-US" w:eastAsia="zh-CN"/>
        </w:rPr>
        <w:t xml:space="preserve">n agreement </w:t>
      </w:r>
      <w:r w:rsidR="00DE0586">
        <w:rPr>
          <w:lang w:val="en-US" w:eastAsia="zh-CN"/>
        </w:rPr>
        <w:t xml:space="preserve">on whether </w:t>
      </w:r>
      <w:r w:rsidR="008C1646">
        <w:rPr>
          <w:lang w:val="en-US"/>
        </w:rPr>
        <w:t>SBFD would have a new dedicated specification</w:t>
      </w:r>
      <w:r w:rsidR="00BB4459">
        <w:rPr>
          <w:lang w:val="en-US"/>
        </w:rPr>
        <w:t xml:space="preserve"> for SBFD-capable BS RF requirements</w:t>
      </w:r>
      <w:r w:rsidR="008C1646">
        <w:rPr>
          <w:lang w:val="en-US"/>
        </w:rPr>
        <w:t xml:space="preserve"> or sub-clauses</w:t>
      </w:r>
      <w:r w:rsidR="00BB4459">
        <w:rPr>
          <w:lang w:val="en-US"/>
        </w:rPr>
        <w:t xml:space="preserve"> for TS 38.104</w:t>
      </w:r>
      <w:r w:rsidR="008C1646">
        <w:rPr>
          <w:lang w:val="en-US"/>
        </w:rPr>
        <w:t xml:space="preserve"> would be used</w:t>
      </w:r>
      <w:r w:rsidR="00DE0586">
        <w:rPr>
          <w:lang w:val="en-US"/>
        </w:rPr>
        <w:t xml:space="preserve">. </w:t>
      </w:r>
    </w:p>
    <w:p w14:paraId="072A3CFE" w14:textId="12005500" w:rsidR="00E27FB9" w:rsidRDefault="00E75BAA" w:rsidP="00E27FB9">
      <w:pPr>
        <w:rPr>
          <w:lang w:val="en-US"/>
        </w:rPr>
      </w:pPr>
      <w:r>
        <w:rPr>
          <w:lang w:val="en-US"/>
        </w:rPr>
        <w:t>Nevertheless, o</w:t>
      </w:r>
      <w:r w:rsidR="00DE0586">
        <w:rPr>
          <w:lang w:val="en-US"/>
        </w:rPr>
        <w:t xml:space="preserve">n the example provided in </w:t>
      </w:r>
      <w:r w:rsidR="00DE0586" w:rsidRPr="00E27FB9">
        <w:rPr>
          <w:lang w:val="en-US"/>
        </w:rPr>
        <w:t>R4-2416498</w:t>
      </w:r>
      <w:r w:rsidR="002C0BD7">
        <w:rPr>
          <w:lang w:val="en-US"/>
        </w:rPr>
        <w:t xml:space="preserve">, we think </w:t>
      </w:r>
      <w:r w:rsidR="009B36BC">
        <w:rPr>
          <w:lang w:val="en-US"/>
        </w:rPr>
        <w:t xml:space="preserve">the potential TP should adhere to the agreement reached in RAN4#112 </w:t>
      </w:r>
      <w:r w:rsidR="00DF0E70">
        <w:rPr>
          <w:lang w:val="en-US"/>
        </w:rPr>
        <w:t xml:space="preserve">where </w:t>
      </w:r>
      <w:r w:rsidR="003142AC">
        <w:rPr>
          <w:lang w:val="en-US"/>
        </w:rPr>
        <w:t xml:space="preserve">four transition cases </w:t>
      </w:r>
      <w:r>
        <w:rPr>
          <w:lang w:val="en-US"/>
        </w:rPr>
        <w:t xml:space="preserve">were identified as </w:t>
      </w:r>
      <w:r w:rsidR="0031463D">
        <w:rPr>
          <w:lang w:val="en-US"/>
        </w:rPr>
        <w:t xml:space="preserve">shown </w:t>
      </w:r>
      <w:r w:rsidR="00652D87">
        <w:rPr>
          <w:lang w:val="en-US"/>
        </w:rPr>
        <w:t xml:space="preserve">in </w:t>
      </w:r>
      <w:r w:rsidR="00652D87">
        <w:rPr>
          <w:lang w:val="en-US"/>
        </w:rPr>
        <w:fldChar w:fldCharType="begin"/>
      </w:r>
      <w:r w:rsidR="00652D87">
        <w:rPr>
          <w:lang w:val="en-US"/>
        </w:rPr>
        <w:instrText xml:space="preserve"> REF _Ref181879404 \h </w:instrText>
      </w:r>
      <w:r w:rsidR="00652D87">
        <w:rPr>
          <w:lang w:val="en-US"/>
        </w:rPr>
      </w:r>
      <w:r w:rsidR="00652D87">
        <w:rPr>
          <w:lang w:val="en-US"/>
        </w:rPr>
        <w:fldChar w:fldCharType="separate"/>
      </w:r>
      <w:r w:rsidR="00652D87">
        <w:t xml:space="preserve">Table </w:t>
      </w:r>
      <w:r w:rsidR="00652D87">
        <w:rPr>
          <w:noProof/>
        </w:rPr>
        <w:t>1</w:t>
      </w:r>
      <w:r w:rsidR="00652D87">
        <w:rPr>
          <w:lang w:val="en-US"/>
        </w:rPr>
        <w:fldChar w:fldCharType="end"/>
      </w:r>
      <w:r w:rsidR="0031463D">
        <w:rPr>
          <w:lang w:val="en-US"/>
        </w:rPr>
        <w:t xml:space="preserve">. </w:t>
      </w:r>
      <w:r w:rsidR="002D6387">
        <w:rPr>
          <w:lang w:val="en-US"/>
        </w:rPr>
        <w:t xml:space="preserve">We do not see </w:t>
      </w:r>
      <w:r w:rsidR="00343D4B">
        <w:rPr>
          <w:lang w:val="en-US"/>
        </w:rPr>
        <w:t xml:space="preserve">any </w:t>
      </w:r>
      <w:r w:rsidR="002D6387">
        <w:rPr>
          <w:lang w:val="en-US"/>
        </w:rPr>
        <w:t xml:space="preserve">need to </w:t>
      </w:r>
      <w:r w:rsidR="00343D4B">
        <w:rPr>
          <w:lang w:val="en-US"/>
        </w:rPr>
        <w:t xml:space="preserve">list detailed antenna configuration options </w:t>
      </w:r>
      <w:r w:rsidR="00652D87">
        <w:rPr>
          <w:lang w:val="en-US"/>
        </w:rPr>
        <w:t xml:space="preserve">and/or </w:t>
      </w:r>
      <w:r w:rsidR="00C52EA7">
        <w:rPr>
          <w:lang w:val="en-US"/>
        </w:rPr>
        <w:t>describing on</w:t>
      </w:r>
      <w:r w:rsidR="00741828">
        <w:rPr>
          <w:lang w:val="en-US"/>
        </w:rPr>
        <w:t xml:space="preserve"> which specific antenna panel the transition occurs</w:t>
      </w:r>
      <w:r w:rsidR="00221B08">
        <w:rPr>
          <w:lang w:val="en-US"/>
        </w:rPr>
        <w:t xml:space="preserve"> unless further agreements take place in RAN4</w:t>
      </w:r>
      <w:r w:rsidR="00106E79">
        <w:rPr>
          <w:lang w:val="en-US"/>
        </w:rPr>
        <w:t xml:space="preserve">. Note that </w:t>
      </w:r>
      <w:r w:rsidR="00A0751B" w:rsidRPr="00A0751B">
        <w:rPr>
          <w:lang w:val="en-US"/>
        </w:rPr>
        <w:t>SBFD antenna configuration option</w:t>
      </w:r>
      <w:r w:rsidR="00A0751B">
        <w:rPr>
          <w:lang w:val="en-US"/>
        </w:rPr>
        <w:t xml:space="preserve"> </w:t>
      </w:r>
      <w:r w:rsidR="00A0751B" w:rsidRPr="00A0751B">
        <w:rPr>
          <w:lang w:val="en-US"/>
        </w:rPr>
        <w:t>1</w:t>
      </w:r>
      <w:r w:rsidR="00A0751B">
        <w:rPr>
          <w:lang w:val="en-US"/>
        </w:rPr>
        <w:t xml:space="preserve">, 2, 3 </w:t>
      </w:r>
      <w:r w:rsidR="001F0C54">
        <w:rPr>
          <w:lang w:val="en-US"/>
        </w:rPr>
        <w:t>mentioned</w:t>
      </w:r>
      <w:r w:rsidR="00A0751B">
        <w:rPr>
          <w:lang w:val="en-US"/>
        </w:rPr>
        <w:t xml:space="preserve"> in </w:t>
      </w:r>
      <w:r w:rsidR="00A0751B" w:rsidRPr="00A0751B">
        <w:rPr>
          <w:lang w:val="en-US"/>
        </w:rPr>
        <w:t>R4-2416498</w:t>
      </w:r>
      <w:r w:rsidR="00A0751B">
        <w:rPr>
          <w:lang w:val="en-US"/>
        </w:rPr>
        <w:t xml:space="preserve"> were discussed </w:t>
      </w:r>
      <w:r w:rsidR="00221B08">
        <w:rPr>
          <w:lang w:val="en-US"/>
        </w:rPr>
        <w:t xml:space="preserve">by RAN1/RAN4 </w:t>
      </w:r>
      <w:r w:rsidR="00A0751B">
        <w:rPr>
          <w:lang w:val="en-US"/>
        </w:rPr>
        <w:t xml:space="preserve">in </w:t>
      </w:r>
      <w:r w:rsidR="001F0C54">
        <w:rPr>
          <w:lang w:val="en-US"/>
        </w:rPr>
        <w:t xml:space="preserve">Rel-18 </w:t>
      </w:r>
      <w:r w:rsidR="00A0751B">
        <w:rPr>
          <w:lang w:val="en-US"/>
        </w:rPr>
        <w:t xml:space="preserve">for the purposes of performance evaluation, but </w:t>
      </w:r>
      <w:r w:rsidR="00652D87">
        <w:rPr>
          <w:lang w:val="en-US"/>
        </w:rPr>
        <w:t>no agreement</w:t>
      </w:r>
      <w:r w:rsidR="001F0C54">
        <w:rPr>
          <w:lang w:val="en-US"/>
        </w:rPr>
        <w:t xml:space="preserve"> on normative </w:t>
      </w:r>
      <w:r w:rsidR="005429B7">
        <w:rPr>
          <w:lang w:val="en-US"/>
        </w:rPr>
        <w:t>specification impact has been made.</w:t>
      </w:r>
    </w:p>
    <w:p w14:paraId="4583D278" w14:textId="4194D04B" w:rsidR="00652D87" w:rsidRDefault="00652D87" w:rsidP="00A90032">
      <w:pPr>
        <w:pStyle w:val="Caption"/>
        <w:keepNext/>
        <w:jc w:val="center"/>
      </w:pPr>
      <w:bookmarkStart w:id="4" w:name="_Ref181879404"/>
      <w:r>
        <w:t xml:space="preserve">Table </w:t>
      </w:r>
      <w:r>
        <w:fldChar w:fldCharType="begin"/>
      </w:r>
      <w:r>
        <w:instrText xml:space="preserve"> SEQ Table \* ARABIC </w:instrText>
      </w:r>
      <w:r>
        <w:fldChar w:fldCharType="separate"/>
      </w:r>
      <w:r>
        <w:rPr>
          <w:noProof/>
        </w:rPr>
        <w:t>1</w:t>
      </w:r>
      <w:r>
        <w:fldChar w:fldCharType="end"/>
      </w:r>
      <w:bookmarkEnd w:id="4"/>
      <w:r>
        <w:t>: RAN4-agreed cases for transient period requirements</w:t>
      </w:r>
    </w:p>
    <w:tbl>
      <w:tblPr>
        <w:tblStyle w:val="TableGrid"/>
        <w:tblW w:w="0" w:type="auto"/>
        <w:tblLook w:val="04A0" w:firstRow="1" w:lastRow="0" w:firstColumn="1" w:lastColumn="0" w:noHBand="0" w:noVBand="1"/>
      </w:tblPr>
      <w:tblGrid>
        <w:gridCol w:w="2405"/>
        <w:gridCol w:w="3401"/>
        <w:gridCol w:w="3823"/>
      </w:tblGrid>
      <w:tr w:rsidR="00E75BAA" w:rsidRPr="0099483F" w14:paraId="3F2553D1" w14:textId="77777777" w:rsidTr="00A90032">
        <w:tc>
          <w:tcPr>
            <w:tcW w:w="2405" w:type="dxa"/>
          </w:tcPr>
          <w:p w14:paraId="7D7F2EF1" w14:textId="77777777" w:rsidR="00E75BAA" w:rsidRPr="0099483F" w:rsidRDefault="00E75BAA" w:rsidP="00997125">
            <w:pPr>
              <w:ind w:left="576"/>
              <w:jc w:val="both"/>
              <w:rPr>
                <w:rFonts w:eastAsiaTheme="minorEastAsia"/>
                <w:b/>
                <w:bCs/>
                <w:lang w:val="en-US" w:eastAsia="zh-CN"/>
              </w:rPr>
            </w:pPr>
          </w:p>
        </w:tc>
        <w:tc>
          <w:tcPr>
            <w:tcW w:w="3401" w:type="dxa"/>
          </w:tcPr>
          <w:p w14:paraId="1338DC4C" w14:textId="77777777" w:rsidR="00E75BAA" w:rsidRPr="0099483F" w:rsidRDefault="00E75BAA" w:rsidP="00997125">
            <w:pPr>
              <w:jc w:val="both"/>
              <w:rPr>
                <w:rFonts w:eastAsiaTheme="minorEastAsia"/>
                <w:b/>
                <w:bCs/>
                <w:lang w:val="en-US" w:eastAsia="zh-CN"/>
              </w:rPr>
            </w:pPr>
            <w:r w:rsidRPr="0099483F">
              <w:rPr>
                <w:rFonts w:eastAsiaTheme="minorEastAsia"/>
                <w:b/>
                <w:bCs/>
                <w:lang w:val="en-US" w:eastAsia="zh-CN"/>
              </w:rPr>
              <w:t>Frequency regions for Transition</w:t>
            </w:r>
          </w:p>
        </w:tc>
        <w:tc>
          <w:tcPr>
            <w:tcW w:w="3823" w:type="dxa"/>
          </w:tcPr>
          <w:p w14:paraId="0768161F" w14:textId="77777777" w:rsidR="00E75BAA" w:rsidRPr="0099483F" w:rsidRDefault="00E75BAA" w:rsidP="00997125">
            <w:pPr>
              <w:jc w:val="both"/>
              <w:rPr>
                <w:rFonts w:eastAsiaTheme="minorEastAsia"/>
                <w:b/>
                <w:bCs/>
                <w:lang w:val="en-US" w:eastAsia="zh-CN"/>
              </w:rPr>
            </w:pPr>
            <w:r w:rsidRPr="0099483F">
              <w:rPr>
                <w:rFonts w:eastAsiaTheme="minorEastAsia"/>
                <w:b/>
                <w:bCs/>
                <w:lang w:val="en-US" w:eastAsia="zh-CN"/>
              </w:rPr>
              <w:t>BS transmitter behavior during transition</w:t>
            </w:r>
          </w:p>
        </w:tc>
      </w:tr>
      <w:tr w:rsidR="00E75BAA" w:rsidRPr="0099483F" w14:paraId="1F555A9C" w14:textId="77777777" w:rsidTr="00A90032">
        <w:tc>
          <w:tcPr>
            <w:tcW w:w="2405" w:type="dxa"/>
          </w:tcPr>
          <w:p w14:paraId="160D4761" w14:textId="77777777" w:rsidR="00E75BAA" w:rsidRPr="0099483F" w:rsidRDefault="00E75BAA" w:rsidP="00997125">
            <w:pPr>
              <w:jc w:val="both"/>
              <w:rPr>
                <w:rFonts w:eastAsiaTheme="minorEastAsia"/>
                <w:lang w:val="en-US" w:eastAsia="zh-CN"/>
              </w:rPr>
            </w:pPr>
            <w:r w:rsidRPr="0099483F">
              <w:rPr>
                <w:lang w:val="en-AU"/>
              </w:rPr>
              <w:t>Case-A (SBFD to DL)</w:t>
            </w:r>
          </w:p>
        </w:tc>
        <w:tc>
          <w:tcPr>
            <w:tcW w:w="3401" w:type="dxa"/>
          </w:tcPr>
          <w:p w14:paraId="16780E89" w14:textId="77777777" w:rsidR="00E75BAA" w:rsidRPr="0099483F" w:rsidRDefault="00E75BAA" w:rsidP="00997125">
            <w:pPr>
              <w:jc w:val="both"/>
              <w:rPr>
                <w:rFonts w:eastAsiaTheme="minorEastAsia"/>
                <w:lang w:val="en-US" w:eastAsia="zh-CN"/>
              </w:rPr>
            </w:pPr>
            <w:r w:rsidRPr="0099483F">
              <w:rPr>
                <w:lang w:val="en-AU"/>
              </w:rPr>
              <w:t xml:space="preserve">SBFD UL </w:t>
            </w:r>
            <w:proofErr w:type="spellStart"/>
            <w:r w:rsidRPr="0099483F">
              <w:rPr>
                <w:lang w:val="en-AU"/>
              </w:rPr>
              <w:t>subband</w:t>
            </w:r>
            <w:proofErr w:type="spellEnd"/>
            <w:r w:rsidRPr="0099483F">
              <w:rPr>
                <w:lang w:val="en-AU"/>
              </w:rPr>
              <w:t xml:space="preserve"> and </w:t>
            </w:r>
            <w:proofErr w:type="spellStart"/>
            <w:r w:rsidRPr="0099483F">
              <w:rPr>
                <w:lang w:val="en-AU"/>
              </w:rPr>
              <w:t>guardband</w:t>
            </w:r>
            <w:proofErr w:type="spellEnd"/>
            <w:r w:rsidRPr="0099483F">
              <w:rPr>
                <w:lang w:val="en-AU"/>
              </w:rPr>
              <w:t>(s)</w:t>
            </w:r>
          </w:p>
        </w:tc>
        <w:tc>
          <w:tcPr>
            <w:tcW w:w="3823" w:type="dxa"/>
          </w:tcPr>
          <w:p w14:paraId="16D25D63" w14:textId="77777777" w:rsidR="00E75BAA" w:rsidRPr="0099483F" w:rsidRDefault="00E75BAA" w:rsidP="00997125">
            <w:pPr>
              <w:jc w:val="both"/>
              <w:rPr>
                <w:rFonts w:eastAsiaTheme="minorEastAsia"/>
                <w:lang w:val="en-US" w:eastAsia="zh-CN"/>
              </w:rPr>
            </w:pPr>
            <w:r w:rsidRPr="0099483F">
              <w:rPr>
                <w:lang w:val="en-AU"/>
              </w:rPr>
              <w:t>BS transmitter OFF-to-ON</w:t>
            </w:r>
          </w:p>
        </w:tc>
      </w:tr>
      <w:tr w:rsidR="00E75BAA" w:rsidRPr="0099483F" w14:paraId="7A43C72B" w14:textId="77777777" w:rsidTr="00A90032">
        <w:tc>
          <w:tcPr>
            <w:tcW w:w="2405" w:type="dxa"/>
          </w:tcPr>
          <w:p w14:paraId="2881DCA1" w14:textId="77777777" w:rsidR="00E75BAA" w:rsidRPr="0099483F" w:rsidRDefault="00E75BAA" w:rsidP="00997125">
            <w:pPr>
              <w:jc w:val="both"/>
              <w:rPr>
                <w:rFonts w:eastAsiaTheme="minorEastAsia"/>
                <w:lang w:val="en-US" w:eastAsia="zh-CN"/>
              </w:rPr>
            </w:pPr>
            <w:r w:rsidRPr="0099483F">
              <w:rPr>
                <w:lang w:val="en-AU"/>
              </w:rPr>
              <w:t>Case-B (SBFD to UL)</w:t>
            </w:r>
          </w:p>
        </w:tc>
        <w:tc>
          <w:tcPr>
            <w:tcW w:w="3401" w:type="dxa"/>
          </w:tcPr>
          <w:p w14:paraId="18F9CAAE" w14:textId="77777777" w:rsidR="00E75BAA" w:rsidRPr="0099483F" w:rsidRDefault="00E75BAA" w:rsidP="00997125">
            <w:pPr>
              <w:jc w:val="both"/>
              <w:rPr>
                <w:rFonts w:eastAsiaTheme="minorEastAsia"/>
                <w:lang w:val="en-US" w:eastAsia="zh-CN"/>
              </w:rPr>
            </w:pPr>
            <w:r w:rsidRPr="0099483F">
              <w:rPr>
                <w:lang w:val="en-AU"/>
              </w:rPr>
              <w:t xml:space="preserve">SBFD DL </w:t>
            </w:r>
            <w:proofErr w:type="spellStart"/>
            <w:r w:rsidRPr="0099483F">
              <w:rPr>
                <w:lang w:val="en-AU"/>
              </w:rPr>
              <w:t>subband</w:t>
            </w:r>
            <w:proofErr w:type="spellEnd"/>
          </w:p>
        </w:tc>
        <w:tc>
          <w:tcPr>
            <w:tcW w:w="3823" w:type="dxa"/>
          </w:tcPr>
          <w:p w14:paraId="41E145E9" w14:textId="77777777" w:rsidR="00E75BAA" w:rsidRPr="0099483F" w:rsidRDefault="00E75BAA" w:rsidP="00997125">
            <w:pPr>
              <w:jc w:val="both"/>
              <w:rPr>
                <w:rFonts w:eastAsiaTheme="minorEastAsia"/>
                <w:lang w:val="en-US" w:eastAsia="zh-CN"/>
              </w:rPr>
            </w:pPr>
            <w:r w:rsidRPr="0099483F">
              <w:rPr>
                <w:lang w:val="en-AU"/>
              </w:rPr>
              <w:t>BS transmitter ON-to-OFF</w:t>
            </w:r>
          </w:p>
        </w:tc>
      </w:tr>
      <w:tr w:rsidR="00E75BAA" w:rsidRPr="0099483F" w14:paraId="46603758" w14:textId="77777777" w:rsidTr="00A90032">
        <w:tc>
          <w:tcPr>
            <w:tcW w:w="2405" w:type="dxa"/>
          </w:tcPr>
          <w:p w14:paraId="153CC06C" w14:textId="77777777" w:rsidR="00E75BAA" w:rsidRPr="0099483F" w:rsidRDefault="00E75BAA" w:rsidP="00997125">
            <w:pPr>
              <w:jc w:val="both"/>
              <w:rPr>
                <w:rFonts w:eastAsiaTheme="minorEastAsia"/>
                <w:lang w:val="en-US" w:eastAsia="zh-CN"/>
              </w:rPr>
            </w:pPr>
            <w:r w:rsidRPr="0099483F">
              <w:rPr>
                <w:lang w:val="en-AU"/>
              </w:rPr>
              <w:t>Case-C (DL to SBFD)</w:t>
            </w:r>
          </w:p>
        </w:tc>
        <w:tc>
          <w:tcPr>
            <w:tcW w:w="3401" w:type="dxa"/>
          </w:tcPr>
          <w:p w14:paraId="56AEB631" w14:textId="77777777" w:rsidR="00E75BAA" w:rsidRPr="0099483F" w:rsidRDefault="00E75BAA" w:rsidP="00997125">
            <w:pPr>
              <w:jc w:val="both"/>
              <w:rPr>
                <w:rFonts w:eastAsiaTheme="minorEastAsia"/>
                <w:lang w:val="en-US" w:eastAsia="zh-CN"/>
              </w:rPr>
            </w:pPr>
            <w:r w:rsidRPr="0099483F">
              <w:rPr>
                <w:lang w:val="en-AU"/>
              </w:rPr>
              <w:t xml:space="preserve">SBFD UL </w:t>
            </w:r>
            <w:proofErr w:type="spellStart"/>
            <w:r w:rsidRPr="0099483F">
              <w:rPr>
                <w:lang w:val="en-AU"/>
              </w:rPr>
              <w:t>subband</w:t>
            </w:r>
            <w:proofErr w:type="spellEnd"/>
            <w:r w:rsidRPr="0099483F">
              <w:rPr>
                <w:lang w:val="en-AU"/>
              </w:rPr>
              <w:t xml:space="preserve"> and </w:t>
            </w:r>
            <w:proofErr w:type="spellStart"/>
            <w:r w:rsidRPr="0099483F">
              <w:rPr>
                <w:lang w:val="en-AU"/>
              </w:rPr>
              <w:t>guardband</w:t>
            </w:r>
            <w:proofErr w:type="spellEnd"/>
            <w:r w:rsidRPr="0099483F">
              <w:rPr>
                <w:lang w:val="en-AU"/>
              </w:rPr>
              <w:t>(s)</w:t>
            </w:r>
          </w:p>
        </w:tc>
        <w:tc>
          <w:tcPr>
            <w:tcW w:w="3823" w:type="dxa"/>
          </w:tcPr>
          <w:p w14:paraId="0790502B" w14:textId="77777777" w:rsidR="00E75BAA" w:rsidRPr="0099483F" w:rsidRDefault="00E75BAA" w:rsidP="00997125">
            <w:pPr>
              <w:jc w:val="both"/>
              <w:rPr>
                <w:rFonts w:eastAsiaTheme="minorEastAsia"/>
                <w:lang w:val="en-US" w:eastAsia="zh-CN"/>
              </w:rPr>
            </w:pPr>
            <w:r w:rsidRPr="0099483F">
              <w:rPr>
                <w:lang w:val="en-AU"/>
              </w:rPr>
              <w:t>BS transmitter ON-to-OFF</w:t>
            </w:r>
          </w:p>
        </w:tc>
      </w:tr>
      <w:tr w:rsidR="00E75BAA" w:rsidRPr="0099483F" w14:paraId="18B8D40D" w14:textId="77777777" w:rsidTr="00A90032">
        <w:tc>
          <w:tcPr>
            <w:tcW w:w="2405" w:type="dxa"/>
          </w:tcPr>
          <w:p w14:paraId="74380DDF" w14:textId="77777777" w:rsidR="00E75BAA" w:rsidRPr="0099483F" w:rsidRDefault="00E75BAA" w:rsidP="00997125">
            <w:pPr>
              <w:jc w:val="both"/>
              <w:rPr>
                <w:rFonts w:eastAsiaTheme="minorEastAsia"/>
                <w:lang w:val="en-US" w:eastAsia="zh-CN"/>
              </w:rPr>
            </w:pPr>
            <w:r w:rsidRPr="0099483F">
              <w:rPr>
                <w:lang w:val="en-AU"/>
              </w:rPr>
              <w:t>Case-D (UL to SBFD)</w:t>
            </w:r>
          </w:p>
        </w:tc>
        <w:tc>
          <w:tcPr>
            <w:tcW w:w="3401" w:type="dxa"/>
          </w:tcPr>
          <w:p w14:paraId="25791B39" w14:textId="77777777" w:rsidR="00E75BAA" w:rsidRPr="0099483F" w:rsidRDefault="00E75BAA" w:rsidP="00997125">
            <w:pPr>
              <w:jc w:val="both"/>
              <w:rPr>
                <w:rFonts w:eastAsiaTheme="minorEastAsia"/>
                <w:lang w:val="en-US" w:eastAsia="zh-CN"/>
              </w:rPr>
            </w:pPr>
            <w:r w:rsidRPr="0099483F">
              <w:rPr>
                <w:lang w:val="en-AU"/>
              </w:rPr>
              <w:t xml:space="preserve">SBFD DL </w:t>
            </w:r>
            <w:proofErr w:type="spellStart"/>
            <w:r w:rsidRPr="0099483F">
              <w:rPr>
                <w:lang w:val="en-AU"/>
              </w:rPr>
              <w:t>subband</w:t>
            </w:r>
            <w:proofErr w:type="spellEnd"/>
          </w:p>
        </w:tc>
        <w:tc>
          <w:tcPr>
            <w:tcW w:w="3823" w:type="dxa"/>
          </w:tcPr>
          <w:p w14:paraId="3216333F" w14:textId="77777777" w:rsidR="00E75BAA" w:rsidRPr="0099483F" w:rsidRDefault="00E75BAA" w:rsidP="00997125">
            <w:pPr>
              <w:jc w:val="both"/>
              <w:rPr>
                <w:rFonts w:eastAsiaTheme="minorEastAsia"/>
                <w:lang w:val="en-US" w:eastAsia="zh-CN"/>
              </w:rPr>
            </w:pPr>
            <w:r w:rsidRPr="0099483F">
              <w:rPr>
                <w:lang w:val="en-AU"/>
              </w:rPr>
              <w:t>BS transmitter OFF-to-ON</w:t>
            </w:r>
          </w:p>
        </w:tc>
      </w:tr>
    </w:tbl>
    <w:p w14:paraId="41028512" w14:textId="77777777" w:rsidR="00E75BAA" w:rsidRDefault="00E75BAA" w:rsidP="00E27FB9">
      <w:pPr>
        <w:rPr>
          <w:lang w:val="en-US"/>
        </w:rPr>
      </w:pPr>
    </w:p>
    <w:p w14:paraId="6F347500" w14:textId="6E156905" w:rsidR="00FC1B09" w:rsidRPr="00F37BC9" w:rsidRDefault="003168E8" w:rsidP="00FC1B09">
      <w:pPr>
        <w:pStyle w:val="Observation"/>
      </w:pPr>
      <w:r>
        <w:t>On transient period requirements</w:t>
      </w:r>
      <w:r w:rsidR="00883492">
        <w:t>,</w:t>
      </w:r>
      <w:r w:rsidR="00FC1B09" w:rsidRPr="00F37BC9">
        <w:t xml:space="preserve"> </w:t>
      </w:r>
      <w:r w:rsidRPr="003168E8">
        <w:t>that SBFD antenna configuration option 1, 2, 3 mentioned in R4-2416498 were discussed in Rel-18 by RAN1/RAN4 for the purposes of performance evaluation, but no agreement on normative specification impact has been made.</w:t>
      </w:r>
    </w:p>
    <w:p w14:paraId="4A797BF5" w14:textId="099A6E8F" w:rsidR="00FC1B09" w:rsidRDefault="00FC1B09" w:rsidP="00FC1B09">
      <w:pPr>
        <w:pStyle w:val="Proposal"/>
        <w:rPr>
          <w:rStyle w:val="normaltextrun"/>
        </w:rPr>
      </w:pPr>
      <w:r>
        <w:rPr>
          <w:rStyle w:val="normaltextrun"/>
        </w:rPr>
        <w:t xml:space="preserve"> </w:t>
      </w:r>
      <w:r w:rsidR="00883492">
        <w:rPr>
          <w:rStyle w:val="normaltextrun"/>
        </w:rPr>
        <w:t>Agreement</w:t>
      </w:r>
      <w:r w:rsidR="00DA17B5">
        <w:rPr>
          <w:rStyle w:val="normaltextrun"/>
        </w:rPr>
        <w:t xml:space="preserve"> on </w:t>
      </w:r>
      <w:r w:rsidR="00883492">
        <w:rPr>
          <w:rStyle w:val="normaltextrun"/>
        </w:rPr>
        <w:t xml:space="preserve">a </w:t>
      </w:r>
      <w:r w:rsidR="00DA17B5">
        <w:rPr>
          <w:rStyle w:val="normaltextrun"/>
        </w:rPr>
        <w:t xml:space="preserve">text proposal on transmitter transient period for SBFD should wait </w:t>
      </w:r>
      <w:r w:rsidR="00774F54">
        <w:rPr>
          <w:rStyle w:val="normaltextrun"/>
        </w:rPr>
        <w:t>for the discussion</w:t>
      </w:r>
      <w:r w:rsidR="00883492" w:rsidRPr="00883492">
        <w:rPr>
          <w:rStyle w:val="normaltextrun"/>
        </w:rPr>
        <w:t xml:space="preserve"> on whether SBFD would have a new dedicated specification for SBFD-capable BS RF requirements or sub-clauses for TS 38.104 would be used</w:t>
      </w:r>
      <w:r w:rsidRPr="00F37BC9">
        <w:rPr>
          <w:rStyle w:val="normaltextrun"/>
        </w:rPr>
        <w:t>.</w:t>
      </w:r>
    </w:p>
    <w:p w14:paraId="019EA041" w14:textId="20373191" w:rsidR="00FC1B09" w:rsidRPr="00BD1CF8" w:rsidRDefault="00F7687D" w:rsidP="00A90032">
      <w:pPr>
        <w:pStyle w:val="Proposal"/>
      </w:pPr>
      <w:r>
        <w:rPr>
          <w:rStyle w:val="normaltextrun"/>
        </w:rPr>
        <w:t xml:space="preserve"> </w:t>
      </w:r>
      <w:r w:rsidR="00883492">
        <w:rPr>
          <w:rStyle w:val="normaltextrun"/>
        </w:rPr>
        <w:t>Potential text proposal on transmitter transient period for SBFD should adhere</w:t>
      </w:r>
      <w:r w:rsidR="00774F54" w:rsidRPr="00774F54">
        <w:t xml:space="preserve"> </w:t>
      </w:r>
      <w:r w:rsidR="00774F54" w:rsidRPr="00774F54">
        <w:rPr>
          <w:rStyle w:val="normaltextrun"/>
        </w:rPr>
        <w:t>to the agreement reached in RAN4#112 where four transition cases were identified as shown in Table 1</w:t>
      </w:r>
      <w:r w:rsidR="00774F54">
        <w:rPr>
          <w:rStyle w:val="normaltextrun"/>
        </w:rPr>
        <w:t xml:space="preserve">, without </w:t>
      </w:r>
      <w:r w:rsidR="00BD1CF8">
        <w:rPr>
          <w:rStyle w:val="normaltextrun"/>
        </w:rPr>
        <w:t>detailing gNB antenna configuration options.</w:t>
      </w:r>
    </w:p>
    <w:p w14:paraId="40DDC8A5" w14:textId="77777777" w:rsidR="00ED291D" w:rsidRPr="00ED291D" w:rsidRDefault="00ED291D" w:rsidP="00ED291D">
      <w:pPr>
        <w:rPr>
          <w:lang w:val="en-US"/>
        </w:rPr>
      </w:pPr>
    </w:p>
    <w:p w14:paraId="0129CC22" w14:textId="77777777" w:rsidR="00ED291D" w:rsidRDefault="00ED291D" w:rsidP="00ED291D">
      <w:pPr>
        <w:pStyle w:val="Heading2"/>
      </w:pPr>
      <w:r>
        <w:t xml:space="preserve">In-channel adjacent </w:t>
      </w:r>
      <w:proofErr w:type="spellStart"/>
      <w:r>
        <w:t>subband</w:t>
      </w:r>
      <w:proofErr w:type="spellEnd"/>
      <w:r>
        <w:t xml:space="preserve"> leakage ratio</w:t>
      </w:r>
    </w:p>
    <w:p w14:paraId="3B88DD90" w14:textId="77777777" w:rsidR="00ED291D" w:rsidRDefault="00ED291D" w:rsidP="00ED291D">
      <w:pPr>
        <w:pStyle w:val="B3"/>
        <w:ind w:left="0" w:firstLine="0"/>
        <w:rPr>
          <w:lang w:val="en-US" w:eastAsia="zh-CN"/>
        </w:rPr>
      </w:pPr>
      <w:r>
        <w:rPr>
          <w:lang w:val="en-US" w:eastAsia="zh-CN"/>
        </w:rPr>
        <w:t>The following was agreed in RAN4#112 and agreed as FFS in RAN4#112bis:</w:t>
      </w:r>
    </w:p>
    <w:tbl>
      <w:tblPr>
        <w:tblStyle w:val="TableGrid"/>
        <w:tblW w:w="0" w:type="auto"/>
        <w:tblLook w:val="04A0" w:firstRow="1" w:lastRow="0" w:firstColumn="1" w:lastColumn="0" w:noHBand="0" w:noVBand="1"/>
      </w:tblPr>
      <w:tblGrid>
        <w:gridCol w:w="9629"/>
      </w:tblGrid>
      <w:tr w:rsidR="00ED291D" w14:paraId="31B7CE65" w14:textId="77777777" w:rsidTr="001F0CDC">
        <w:tc>
          <w:tcPr>
            <w:tcW w:w="9629" w:type="dxa"/>
          </w:tcPr>
          <w:p w14:paraId="0CA8B369" w14:textId="77777777" w:rsidR="00ED291D" w:rsidRPr="00F762C7" w:rsidRDefault="00ED291D" w:rsidP="00ED291D">
            <w:pPr>
              <w:numPr>
                <w:ilvl w:val="0"/>
                <w:numId w:val="26"/>
              </w:numPr>
            </w:pPr>
            <w:r w:rsidRPr="00F762C7">
              <w:t xml:space="preserve">Way forward: </w:t>
            </w:r>
          </w:p>
          <w:p w14:paraId="3EF776C5" w14:textId="77777777" w:rsidR="00ED291D" w:rsidRPr="00F762C7" w:rsidRDefault="00ED291D" w:rsidP="00ED291D">
            <w:pPr>
              <w:numPr>
                <w:ilvl w:val="1"/>
                <w:numId w:val="26"/>
              </w:numPr>
            </w:pPr>
            <w:r w:rsidRPr="00F762C7">
              <w:t xml:space="preserve">FFS the necessity of in-channel adjacent </w:t>
            </w:r>
            <w:proofErr w:type="spellStart"/>
            <w:r w:rsidRPr="00F762C7">
              <w:t>subband</w:t>
            </w:r>
            <w:proofErr w:type="spellEnd"/>
            <w:r w:rsidRPr="00F762C7">
              <w:t xml:space="preserve"> leakage ratio requirements</w:t>
            </w:r>
          </w:p>
          <w:p w14:paraId="3694432D" w14:textId="77777777" w:rsidR="00ED291D" w:rsidRPr="00F762C7" w:rsidRDefault="00ED291D" w:rsidP="00ED291D">
            <w:pPr>
              <w:numPr>
                <w:ilvl w:val="2"/>
                <w:numId w:val="26"/>
              </w:numPr>
            </w:pPr>
            <w:r w:rsidRPr="00F762C7">
              <w:t xml:space="preserve">Option 1: No necessity to introduce new requirement for in-channel adjacent </w:t>
            </w:r>
            <w:proofErr w:type="spellStart"/>
            <w:r w:rsidRPr="00F762C7">
              <w:t>subband</w:t>
            </w:r>
            <w:proofErr w:type="spellEnd"/>
            <w:r w:rsidRPr="00F762C7">
              <w:t xml:space="preserve"> leakage ratio. </w:t>
            </w:r>
          </w:p>
          <w:p w14:paraId="70E1E67E" w14:textId="77777777" w:rsidR="00ED291D" w:rsidRPr="00F762C7" w:rsidRDefault="00ED291D" w:rsidP="00ED291D">
            <w:pPr>
              <w:numPr>
                <w:ilvl w:val="2"/>
                <w:numId w:val="26"/>
              </w:numPr>
            </w:pPr>
            <w:r w:rsidRPr="00F762C7">
              <w:t xml:space="preserve">Option 2: New requirement for in-channel adjacent </w:t>
            </w:r>
            <w:proofErr w:type="spellStart"/>
            <w:r w:rsidRPr="00F762C7">
              <w:t>subband</w:t>
            </w:r>
            <w:proofErr w:type="spellEnd"/>
            <w:r w:rsidRPr="00F762C7">
              <w:t xml:space="preserve"> leakage ratio should be defined. </w:t>
            </w:r>
          </w:p>
          <w:p w14:paraId="2554651D" w14:textId="77777777" w:rsidR="00ED291D" w:rsidRPr="00F762C7" w:rsidRDefault="00ED291D" w:rsidP="00ED291D">
            <w:pPr>
              <w:numPr>
                <w:ilvl w:val="3"/>
                <w:numId w:val="26"/>
              </w:numPr>
            </w:pPr>
            <w:r w:rsidRPr="00F762C7">
              <w:lastRenderedPageBreak/>
              <w:t xml:space="preserve">Define a requirement on TX sub-band ACLR </w:t>
            </w:r>
            <w:proofErr w:type="gramStart"/>
            <w:r w:rsidRPr="00F762C7">
              <w:t>similar to</w:t>
            </w:r>
            <w:proofErr w:type="gramEnd"/>
            <w:r w:rsidRPr="00F762C7">
              <w:t xml:space="preserve"> the ACLR requirement and use existing ACLR requirement as baseline.</w:t>
            </w:r>
          </w:p>
        </w:tc>
      </w:tr>
    </w:tbl>
    <w:p w14:paraId="5C2300E3" w14:textId="5B6BD4F1" w:rsidR="00ED291D" w:rsidRDefault="00ED291D">
      <w:pPr>
        <w:pStyle w:val="Heading2"/>
        <w:numPr>
          <w:ilvl w:val="0"/>
          <w:numId w:val="0"/>
        </w:numPr>
        <w:rPr>
          <w:rFonts w:ascii="Times New Roman" w:hAnsi="Times New Roman"/>
          <w:sz w:val="20"/>
          <w:lang w:val="en-US" w:eastAsia="zh-CN"/>
        </w:rPr>
      </w:pPr>
    </w:p>
    <w:p w14:paraId="0F4CB70D" w14:textId="77777777" w:rsidR="0086505F" w:rsidRPr="00F37BC9" w:rsidRDefault="0086505F" w:rsidP="0086505F">
      <w:r w:rsidRPr="00F37BC9">
        <w:t>SBFD introduces new types of interference, some of which are highlighted in the figure below. From the BS perspective, the new cases of interference come from: 1) self-interference, 2)</w:t>
      </w:r>
      <w:r>
        <w:t xml:space="preserve"> co-site</w:t>
      </w:r>
      <w:r w:rsidRPr="00F37BC9">
        <w:t xml:space="preserve"> inter-sector interference, and 3) </w:t>
      </w:r>
      <w:r>
        <w:t>inter</w:t>
      </w:r>
      <w:r w:rsidRPr="00F37BC9">
        <w:t>-</w:t>
      </w:r>
      <w:r>
        <w:t>site</w:t>
      </w:r>
      <w:r w:rsidRPr="00F37BC9">
        <w:t xml:space="preserve"> interference.</w:t>
      </w:r>
    </w:p>
    <w:p w14:paraId="0D172DF1" w14:textId="77777777" w:rsidR="0086505F" w:rsidRPr="00F37BC9" w:rsidRDefault="0086505F" w:rsidP="0086505F">
      <w:pPr>
        <w:jc w:val="center"/>
      </w:pPr>
      <w:r w:rsidRPr="00F37BC9">
        <w:rPr>
          <w:noProof/>
        </w:rPr>
        <w:drawing>
          <wp:inline distT="0" distB="0" distL="0" distR="0" wp14:anchorId="6A450CF9" wp14:editId="760FAB4F">
            <wp:extent cx="3175000" cy="1679923"/>
            <wp:effectExtent l="0" t="0" r="6350" b="0"/>
            <wp:docPr id="686926237" name="Picture 68692623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3"/>
                    <a:stretch>
                      <a:fillRect/>
                    </a:stretch>
                  </pic:blipFill>
                  <pic:spPr>
                    <a:xfrm>
                      <a:off x="0" y="0"/>
                      <a:ext cx="3201408" cy="1693896"/>
                    </a:xfrm>
                    <a:prstGeom prst="rect">
                      <a:avLst/>
                    </a:prstGeom>
                  </pic:spPr>
                </pic:pic>
              </a:graphicData>
            </a:graphic>
          </wp:inline>
        </w:drawing>
      </w:r>
    </w:p>
    <w:p w14:paraId="4D4A1D37" w14:textId="77777777" w:rsidR="0086505F" w:rsidRPr="00F37BC9" w:rsidRDefault="0086505F" w:rsidP="00D45406">
      <w:pPr>
        <w:pStyle w:val="Caption"/>
        <w:jc w:val="center"/>
      </w:pPr>
      <w:bookmarkStart w:id="5" w:name="_Ref101452658"/>
      <w:r w:rsidRPr="00F37BC9">
        <w:t xml:space="preserve">Figure </w:t>
      </w:r>
      <w:r w:rsidRPr="00F37BC9">
        <w:fldChar w:fldCharType="begin"/>
      </w:r>
      <w:r w:rsidRPr="00F37BC9">
        <w:instrText xml:space="preserve"> SEQ Figure \* ARABIC </w:instrText>
      </w:r>
      <w:r w:rsidRPr="00F37BC9">
        <w:fldChar w:fldCharType="separate"/>
      </w:r>
      <w:r w:rsidRPr="00F37BC9">
        <w:rPr>
          <w:noProof/>
        </w:rPr>
        <w:t>1</w:t>
      </w:r>
      <w:r w:rsidRPr="00F37BC9">
        <w:fldChar w:fldCharType="end"/>
      </w:r>
      <w:bookmarkEnd w:id="5"/>
      <w:r w:rsidRPr="00F37BC9">
        <w:t>: Types of interference in SBFD deployment</w:t>
      </w:r>
    </w:p>
    <w:p w14:paraId="2F4F9655" w14:textId="77777777" w:rsidR="0086505F" w:rsidRPr="00F37BC9" w:rsidRDefault="0086505F" w:rsidP="0086505F">
      <w:r>
        <w:t>During meetings</w:t>
      </w:r>
      <w:r w:rsidRPr="00F37BC9">
        <w:t xml:space="preserve">, it has been discussed whether new requirements should be defined for the adjacent </w:t>
      </w:r>
      <w:proofErr w:type="spellStart"/>
      <w:r w:rsidRPr="00F37BC9">
        <w:t>subbands</w:t>
      </w:r>
      <w:proofErr w:type="spellEnd"/>
      <w:r w:rsidRPr="00F37BC9">
        <w:t xml:space="preserve">, such as: </w:t>
      </w:r>
    </w:p>
    <w:p w14:paraId="1B46FC12" w14:textId="77777777" w:rsidR="0086505F" w:rsidRPr="00E7206D" w:rsidRDefault="0086505F" w:rsidP="0086505F">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In-channel adjacent </w:t>
      </w:r>
      <w:proofErr w:type="spellStart"/>
      <w:r w:rsidRPr="00E7206D">
        <w:rPr>
          <w:sz w:val="20"/>
          <w:szCs w:val="20"/>
          <w:lang w:val="en-GB" w:eastAsia="en-US"/>
        </w:rPr>
        <w:t>subband</w:t>
      </w:r>
      <w:proofErr w:type="spellEnd"/>
      <w:r w:rsidRPr="00E7206D">
        <w:rPr>
          <w:sz w:val="20"/>
          <w:szCs w:val="20"/>
          <w:lang w:val="en-GB" w:eastAsia="en-US"/>
        </w:rPr>
        <w:t xml:space="preserve"> blocking and selectivity</w:t>
      </w:r>
    </w:p>
    <w:p w14:paraId="0D40F311" w14:textId="77777777" w:rsidR="0086505F" w:rsidRPr="00E7206D" w:rsidRDefault="0086505F" w:rsidP="0086505F">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 channel adjacent </w:t>
      </w:r>
      <w:proofErr w:type="spellStart"/>
      <w:r w:rsidRPr="00E7206D">
        <w:rPr>
          <w:sz w:val="20"/>
          <w:szCs w:val="20"/>
          <w:lang w:val="en-GB" w:eastAsia="en-US"/>
        </w:rPr>
        <w:t>subband</w:t>
      </w:r>
      <w:proofErr w:type="spellEnd"/>
      <w:r w:rsidRPr="00E7206D">
        <w:rPr>
          <w:sz w:val="20"/>
          <w:szCs w:val="20"/>
          <w:lang w:val="en-GB" w:eastAsia="en-US"/>
        </w:rPr>
        <w:t xml:space="preserve"> leakage</w:t>
      </w:r>
    </w:p>
    <w:p w14:paraId="0FB99351" w14:textId="77777777" w:rsidR="0086505F" w:rsidRPr="00F37BC9" w:rsidRDefault="0086505F" w:rsidP="0086505F">
      <w:r w:rsidRPr="00F37BC9">
        <w:t xml:space="preserve">Below, we </w:t>
      </w:r>
      <w:r>
        <w:t>repeat</w:t>
      </w:r>
      <w:r w:rsidRPr="00F37BC9">
        <w:t xml:space="preserve"> the need to introduce the different requirements to ensure the SBFD operation.</w:t>
      </w:r>
    </w:p>
    <w:p w14:paraId="5D55507B" w14:textId="77777777" w:rsidR="0086505F" w:rsidRPr="00B95F81" w:rsidRDefault="0086505F" w:rsidP="0086505F">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In our view, new requirements are needed to ensure interoperability between base stations</w:t>
      </w:r>
      <w:r>
        <w:rPr>
          <w:rStyle w:val="normaltextrun"/>
          <w:sz w:val="20"/>
          <w:szCs w:val="20"/>
          <w:lang w:val="en-US"/>
        </w:rPr>
        <w:t xml:space="preserve"> from</w:t>
      </w:r>
      <w:r w:rsidRPr="00B95F81">
        <w:rPr>
          <w:rStyle w:val="normaltextrun"/>
          <w:sz w:val="20"/>
          <w:szCs w:val="20"/>
          <w:lang w:val="en-US"/>
        </w:rPr>
        <w:t xml:space="preserve"> different vendors in the same network. They cannot be implicitly guaranteed by OTA sensitivity requirement. It is easier to cancel the effects of interference inside your base station, whereas from other base stations there might be no cancellation options. Inter-site and </w:t>
      </w:r>
      <w:r>
        <w:rPr>
          <w:rStyle w:val="normaltextrun"/>
          <w:sz w:val="20"/>
          <w:szCs w:val="20"/>
          <w:lang w:val="en-US"/>
        </w:rPr>
        <w:t xml:space="preserve">co-site </w:t>
      </w:r>
      <w:r w:rsidRPr="00B95F81">
        <w:rPr>
          <w:rStyle w:val="normaltextrun"/>
          <w:sz w:val="20"/>
          <w:szCs w:val="20"/>
          <w:lang w:val="en-US"/>
        </w:rPr>
        <w:t>inter-sector BS interference should be taken into consideration in the definition of the requirements for SBFD operation.</w:t>
      </w:r>
    </w:p>
    <w:p w14:paraId="2CFD7885" w14:textId="77777777" w:rsidR="0086505F" w:rsidRPr="00F37BC9" w:rsidRDefault="0086505F" w:rsidP="0086505F">
      <w:pPr>
        <w:pStyle w:val="Observation"/>
        <w:rPr>
          <w:rStyle w:val="normaltextrun"/>
        </w:rPr>
      </w:pPr>
      <w:r w:rsidRPr="00F37BC9">
        <w:rPr>
          <w:rStyle w:val="normaltextrun"/>
        </w:rPr>
        <w:t>The OTA sensitivity requirement does not capture the effects from</w:t>
      </w:r>
      <w:r>
        <w:rPr>
          <w:rStyle w:val="normaltextrun"/>
        </w:rPr>
        <w:t xml:space="preserve"> co-site</w:t>
      </w:r>
      <w:r w:rsidRPr="00F37BC9">
        <w:rPr>
          <w:rStyle w:val="normaltextrun"/>
        </w:rPr>
        <w:t xml:space="preserve"> inter-sector and inter-</w:t>
      </w:r>
      <w:r>
        <w:rPr>
          <w:rStyle w:val="normaltextrun"/>
        </w:rPr>
        <w:t>site</w:t>
      </w:r>
      <w:r w:rsidRPr="00F37BC9">
        <w:rPr>
          <w:rStyle w:val="normaltextrun"/>
        </w:rPr>
        <w:t xml:space="preserve"> interference. </w:t>
      </w:r>
    </w:p>
    <w:p w14:paraId="13054722" w14:textId="77777777" w:rsidR="0086505F" w:rsidRPr="00F37BC9" w:rsidRDefault="0086505F" w:rsidP="0086505F">
      <w:r>
        <w:t>As</w:t>
      </w:r>
      <w:r w:rsidRPr="00F37BC9">
        <w:t xml:space="preserve"> RAN4 has not agreed on a reference implementation for the </w:t>
      </w:r>
      <w:proofErr w:type="spellStart"/>
      <w:r w:rsidRPr="00F37BC9">
        <w:t>gNB</w:t>
      </w:r>
      <w:proofErr w:type="spellEnd"/>
      <w:r w:rsidRPr="00F37BC9">
        <w:t xml:space="preserve">, it is difficult to define additional requirements. Though we agree that depending on the </w:t>
      </w:r>
      <w:proofErr w:type="spellStart"/>
      <w:r w:rsidRPr="00F37BC9">
        <w:t>gNB</w:t>
      </w:r>
      <w:proofErr w:type="spellEnd"/>
      <w:r w:rsidRPr="00F37BC9">
        <w:t xml:space="preserve"> implementation the adjacent channel leakage, for example, can be different, in our view, RAN4 is responsible to define minimum requirements which should be achievable for reasonable implementations to guarantee the minimum performance</w:t>
      </w:r>
      <w:r>
        <w:t>.</w:t>
      </w:r>
    </w:p>
    <w:p w14:paraId="4C869B66" w14:textId="77777777" w:rsidR="0086505F" w:rsidRPr="00F37BC9" w:rsidRDefault="0086505F" w:rsidP="0086505F">
      <w:pPr>
        <w:pStyle w:val="Observation"/>
      </w:pPr>
      <w:r w:rsidRPr="00F37BC9">
        <w:t>In</w:t>
      </w:r>
      <w:r>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r w:rsidRPr="00F37BC9">
        <w:br/>
      </w:r>
    </w:p>
    <w:p w14:paraId="63046CCC" w14:textId="77777777" w:rsidR="0086505F" w:rsidRPr="00F37BC9" w:rsidRDefault="0086505F" w:rsidP="0086505F">
      <w:pPr>
        <w:pStyle w:val="Observation"/>
      </w:pPr>
      <w:r w:rsidRPr="00F37BC9">
        <w:t xml:space="preserve">Even though RAN4 has not agreed on a reference implementation for SBFD operation, minimum requirements can still be defined to </w:t>
      </w:r>
      <w:r>
        <w:t>enable</w:t>
      </w:r>
      <w:r w:rsidRPr="00F37BC9">
        <w:t xml:space="preserve"> proper operation considering self-interference, </w:t>
      </w:r>
      <w:r>
        <w:t xml:space="preserve">co-site </w:t>
      </w:r>
      <w:r w:rsidRPr="00F37BC9">
        <w:t>inter-s</w:t>
      </w:r>
      <w:r>
        <w:t>ector</w:t>
      </w:r>
      <w:r w:rsidRPr="00F37BC9">
        <w:t xml:space="preserve"> and inter-</w:t>
      </w:r>
      <w:r>
        <w:t>site</w:t>
      </w:r>
      <w:r w:rsidRPr="00F37BC9">
        <w:t xml:space="preserve"> interference. </w:t>
      </w:r>
    </w:p>
    <w:p w14:paraId="3BCEB8A8" w14:textId="77777777" w:rsidR="0086505F" w:rsidRPr="00B95F81" w:rsidRDefault="0086505F" w:rsidP="0086505F">
      <w:pPr>
        <w:pStyle w:val="paragraph"/>
        <w:spacing w:before="0" w:beforeAutospacing="0" w:after="0" w:afterAutospacing="0"/>
        <w:textAlignment w:val="baseline"/>
        <w:rPr>
          <w:rStyle w:val="normaltextrun"/>
          <w:sz w:val="20"/>
          <w:szCs w:val="20"/>
          <w:lang w:val="en-US"/>
        </w:rPr>
      </w:pPr>
    </w:p>
    <w:p w14:paraId="79B80F48" w14:textId="77777777" w:rsidR="0086505F" w:rsidRPr="00B95F81" w:rsidRDefault="0086505F" w:rsidP="0086505F">
      <w:pPr>
        <w:pStyle w:val="paragraph"/>
        <w:spacing w:before="0" w:beforeAutospacing="0" w:after="0" w:afterAutospacing="0"/>
        <w:textAlignment w:val="baseline"/>
        <w:rPr>
          <w:rStyle w:val="normaltextrun"/>
          <w:sz w:val="20"/>
          <w:szCs w:val="20"/>
          <w:lang w:val="en-US"/>
        </w:rPr>
      </w:pPr>
    </w:p>
    <w:p w14:paraId="252F3891" w14:textId="77777777" w:rsidR="0086505F" w:rsidRPr="00B95F81" w:rsidRDefault="0086505F" w:rsidP="0086505F">
      <w:pPr>
        <w:rPr>
          <w:rStyle w:val="normaltextrun"/>
          <w:lang w:val="en-US"/>
        </w:rPr>
      </w:pPr>
      <w:r>
        <w:rPr>
          <w:rStyle w:val="normaltextrun"/>
        </w:rPr>
        <w:t xml:space="preserve">For the options listed in the WF, we see that option 2 is needed to be selected here. </w:t>
      </w:r>
      <w:r w:rsidRPr="00B95F81">
        <w:rPr>
          <w:rStyle w:val="normaltextrun"/>
          <w:lang w:val="en-US"/>
        </w:rPr>
        <w:t xml:space="preserve">As shown in </w:t>
      </w:r>
      <w:r w:rsidRPr="00F37BC9">
        <w:rPr>
          <w:rStyle w:val="normaltextrun"/>
        </w:rPr>
        <w:fldChar w:fldCharType="begin"/>
      </w:r>
      <w:r w:rsidRPr="00B95F81">
        <w:rPr>
          <w:rStyle w:val="normaltextrun"/>
          <w:lang w:val="en-US"/>
        </w:rPr>
        <w:instrText xml:space="preserve"> REF _Ref101452658 \h  \* MERGEFORMAT </w:instrText>
      </w:r>
      <w:r w:rsidRPr="00F37BC9">
        <w:rPr>
          <w:rStyle w:val="normaltextrun"/>
        </w:rPr>
      </w:r>
      <w:r w:rsidRPr="00F37BC9">
        <w:rPr>
          <w:rStyle w:val="normaltextrun"/>
        </w:rPr>
        <w:fldChar w:fldCharType="separate"/>
      </w:r>
      <w:r w:rsidRPr="00B95F81">
        <w:rPr>
          <w:lang w:val="en-US"/>
        </w:rPr>
        <w:t>Figure 1</w:t>
      </w:r>
      <w:r w:rsidRPr="00F37BC9">
        <w:rPr>
          <w:rStyle w:val="normaltextrun"/>
        </w:rPr>
        <w:fldChar w:fldCharType="end"/>
      </w:r>
      <w:r w:rsidRPr="00B95F81">
        <w:rPr>
          <w:rStyle w:val="normaltextrun"/>
          <w:lang w:val="en-US"/>
        </w:rPr>
        <w:t xml:space="preserve">, the leakage from the transmission in the DL </w:t>
      </w:r>
      <w:proofErr w:type="spellStart"/>
      <w:r w:rsidRPr="00B95F81">
        <w:rPr>
          <w:rStyle w:val="normaltextrun"/>
          <w:lang w:val="en-US"/>
        </w:rPr>
        <w:t>subband</w:t>
      </w:r>
      <w:proofErr w:type="spellEnd"/>
      <w:r w:rsidRPr="00B95F81">
        <w:rPr>
          <w:rStyle w:val="normaltextrun"/>
          <w:lang w:val="en-US"/>
        </w:rPr>
        <w:t xml:space="preserve"> can cause self-interference, </w:t>
      </w:r>
      <w:r>
        <w:rPr>
          <w:rStyle w:val="normaltextrun"/>
          <w:lang w:val="en-US"/>
        </w:rPr>
        <w:t xml:space="preserve">co-site </w:t>
      </w:r>
      <w:r w:rsidRPr="00B95F81">
        <w:rPr>
          <w:rStyle w:val="normaltextrun"/>
          <w:lang w:val="en-US"/>
        </w:rPr>
        <w:t xml:space="preserve">inter-sector interference and </w:t>
      </w:r>
      <w:r>
        <w:rPr>
          <w:rStyle w:val="normaltextrun"/>
          <w:lang w:val="en-US"/>
        </w:rPr>
        <w:t>inter-site</w:t>
      </w:r>
      <w:r w:rsidRPr="00B95F81">
        <w:rPr>
          <w:rStyle w:val="normaltextrun"/>
          <w:lang w:val="en-US"/>
        </w:rPr>
        <w:t xml:space="preserve"> interference. The effects of the adjacent sub-band leakage into the </w:t>
      </w:r>
      <w:proofErr w:type="spellStart"/>
      <w:r w:rsidRPr="00B95F81">
        <w:rPr>
          <w:rStyle w:val="normaltextrun"/>
          <w:lang w:val="en-US"/>
        </w:rPr>
        <w:t>gNBs</w:t>
      </w:r>
      <w:proofErr w:type="spellEnd"/>
      <w:r w:rsidRPr="00B95F81">
        <w:rPr>
          <w:rStyle w:val="normaltextrun"/>
          <w:lang w:val="en-US"/>
        </w:rPr>
        <w:t xml:space="preserve"> own receiver can be cancelled to some extent, and we agree that this requirement can be implicitly guaranteed by the OTA sensitivity when considering self-interference only. However, the OTA sensitivity requirement does not guarantee that the</w:t>
      </w:r>
      <w:r>
        <w:rPr>
          <w:rStyle w:val="normaltextrun"/>
          <w:lang w:val="en-US"/>
        </w:rPr>
        <w:t xml:space="preserve"> adjacent</w:t>
      </w:r>
      <w:r w:rsidRPr="00B95F81">
        <w:rPr>
          <w:rStyle w:val="normaltextrun"/>
          <w:lang w:val="en-US"/>
        </w:rPr>
        <w:t xml:space="preserve"> sub-band leakage to other nodes in the network</w:t>
      </w:r>
      <w:r>
        <w:rPr>
          <w:rStyle w:val="normaltextrun"/>
          <w:lang w:val="en-US"/>
        </w:rPr>
        <w:t xml:space="preserve"> is sufficiently low, too</w:t>
      </w:r>
      <w:r w:rsidRPr="00B95F81">
        <w:rPr>
          <w:rStyle w:val="normaltextrun"/>
          <w:lang w:val="en-US"/>
        </w:rPr>
        <w:t xml:space="preserve">. Therefore, we believe that a new requirement is needed. The exact </w:t>
      </w:r>
      <w:r w:rsidRPr="00B95F81">
        <w:rPr>
          <w:rStyle w:val="normaltextrun"/>
          <w:lang w:val="en-US"/>
        </w:rPr>
        <w:lastRenderedPageBreak/>
        <w:t xml:space="preserve">value of the requirement needs more discussion, since in our view it would depend on the </w:t>
      </w:r>
      <w:r>
        <w:rPr>
          <w:rStyle w:val="normaltextrun"/>
          <w:lang w:val="en-US"/>
        </w:rPr>
        <w:t>ratio between</w:t>
      </w:r>
      <w:r w:rsidRPr="00B95F81">
        <w:rPr>
          <w:rStyle w:val="normaltextrun"/>
          <w:lang w:val="en-US"/>
        </w:rPr>
        <w:t xml:space="preserve"> </w:t>
      </w:r>
      <w:r>
        <w:rPr>
          <w:rStyle w:val="normaltextrun"/>
          <w:lang w:val="en-US"/>
        </w:rPr>
        <w:t>the bandwidths of</w:t>
      </w:r>
      <w:r w:rsidRPr="00B95F81">
        <w:rPr>
          <w:rStyle w:val="normaltextrun"/>
          <w:lang w:val="en-US"/>
        </w:rPr>
        <w:t xml:space="preserve"> the DL</w:t>
      </w:r>
      <w:r>
        <w:rPr>
          <w:rStyle w:val="normaltextrun"/>
          <w:lang w:val="en-US"/>
        </w:rPr>
        <w:t xml:space="preserve"> and the </w:t>
      </w:r>
      <w:r w:rsidRPr="00B95F81">
        <w:rPr>
          <w:rStyle w:val="normaltextrun"/>
          <w:lang w:val="en-US"/>
        </w:rPr>
        <w:t>UL</w:t>
      </w:r>
      <w:r>
        <w:rPr>
          <w:rStyle w:val="normaltextrun"/>
          <w:lang w:val="en-US"/>
        </w:rPr>
        <w:t xml:space="preserve"> </w:t>
      </w:r>
      <w:proofErr w:type="spellStart"/>
      <w:proofErr w:type="gramStart"/>
      <w:r>
        <w:rPr>
          <w:rStyle w:val="normaltextrun"/>
          <w:lang w:val="en-US"/>
        </w:rPr>
        <w:t>subbands</w:t>
      </w:r>
      <w:proofErr w:type="spellEnd"/>
      <w:proofErr w:type="gramEnd"/>
      <w:r>
        <w:rPr>
          <w:rStyle w:val="normaltextrun"/>
          <w:lang w:val="en-US"/>
        </w:rPr>
        <w:t xml:space="preserve"> but the baseline value should be the existing ACLR requirement.</w:t>
      </w:r>
    </w:p>
    <w:p w14:paraId="1F99CC73" w14:textId="77777777" w:rsidR="0086505F" w:rsidRPr="00F37BC9" w:rsidRDefault="0086505F" w:rsidP="0086505F">
      <w:pPr>
        <w:pStyle w:val="Proposal"/>
        <w:rPr>
          <w:rStyle w:val="normaltextrun"/>
        </w:rPr>
      </w:pPr>
      <w:r>
        <w:rPr>
          <w:rStyle w:val="normaltextrun"/>
        </w:rPr>
        <w:t xml:space="preserve"> </w:t>
      </w:r>
      <w:r w:rsidRPr="00F37BC9">
        <w:rPr>
          <w:rStyle w:val="normaltextrun"/>
        </w:rPr>
        <w:t>RAN4 to define in-channel adjacent sub-band leakage ratio requirements within SBFD time slots considering</w:t>
      </w:r>
      <w:r>
        <w:rPr>
          <w:rStyle w:val="normaltextrun"/>
        </w:rPr>
        <w:t xml:space="preserve"> co-site</w:t>
      </w:r>
      <w:r w:rsidRPr="00F37BC9">
        <w:rPr>
          <w:rStyle w:val="normaltextrun"/>
        </w:rPr>
        <w:t xml:space="preserve"> inter-sector interference and inter-site interference. Existing ACLR requirements could be used as baseline </w:t>
      </w:r>
      <w:r>
        <w:rPr>
          <w:rStyle w:val="normaltextrun"/>
        </w:rPr>
        <w:t>depending on the ratio</w:t>
      </w:r>
      <w:r w:rsidRPr="00F37BC9">
        <w:rPr>
          <w:rStyle w:val="normaltextrun"/>
        </w:rPr>
        <w:t xml:space="preserve"> </w:t>
      </w:r>
      <w:r>
        <w:rPr>
          <w:rStyle w:val="normaltextrun"/>
        </w:rPr>
        <w:t>between</w:t>
      </w:r>
      <w:r w:rsidRPr="00F37BC9">
        <w:rPr>
          <w:rStyle w:val="normaltextrun"/>
        </w:rPr>
        <w:t xml:space="preserve"> the</w:t>
      </w:r>
      <w:r>
        <w:rPr>
          <w:rStyle w:val="normaltextrun"/>
        </w:rPr>
        <w:t xml:space="preserve"> bandwidths of the</w:t>
      </w:r>
      <w:r w:rsidRPr="00F37BC9">
        <w:rPr>
          <w:rStyle w:val="normaltextrun"/>
        </w:rPr>
        <w:t xml:space="preserve"> DL and </w:t>
      </w:r>
      <w:r>
        <w:rPr>
          <w:rStyle w:val="normaltextrun"/>
        </w:rPr>
        <w:t xml:space="preserve">the </w:t>
      </w:r>
      <w:r w:rsidRPr="00F37BC9">
        <w:rPr>
          <w:rStyle w:val="normaltextrun"/>
        </w:rPr>
        <w:t xml:space="preserve">UL </w:t>
      </w:r>
      <w:proofErr w:type="spellStart"/>
      <w:r w:rsidRPr="00F37BC9">
        <w:rPr>
          <w:rStyle w:val="normaltextrun"/>
        </w:rPr>
        <w:t>subbands</w:t>
      </w:r>
      <w:proofErr w:type="spellEnd"/>
      <w:r w:rsidRPr="00F37BC9">
        <w:rPr>
          <w:rStyle w:val="normaltextrun"/>
        </w:rPr>
        <w:t>.</w:t>
      </w:r>
    </w:p>
    <w:p w14:paraId="260632DB" w14:textId="77777777" w:rsidR="00FF1C5B" w:rsidRPr="00FF1C5B" w:rsidRDefault="00FF1C5B" w:rsidP="00D45406">
      <w:pPr>
        <w:rPr>
          <w:lang w:val="en-US" w:eastAsia="zh-CN"/>
        </w:rPr>
      </w:pPr>
    </w:p>
    <w:p w14:paraId="34997BEF" w14:textId="77777777" w:rsidR="00FE5BA5" w:rsidRPr="00FE5BA5" w:rsidRDefault="00FE5BA5" w:rsidP="00FE5BA5">
      <w:pPr>
        <w:rPr>
          <w:lang w:val="en-US" w:eastAsia="zh-CN"/>
        </w:rPr>
      </w:pPr>
    </w:p>
    <w:p w14:paraId="6BBFE361" w14:textId="2E75113C" w:rsidR="00ED291D" w:rsidRDefault="00ED291D" w:rsidP="00D00BB4">
      <w:pPr>
        <w:pStyle w:val="Heading2"/>
      </w:pPr>
      <w:r w:rsidRPr="00ED291D">
        <w:t xml:space="preserve">Necessity of in-channel adjacent </w:t>
      </w:r>
      <w:proofErr w:type="spellStart"/>
      <w:r w:rsidRPr="00ED291D">
        <w:t>subband</w:t>
      </w:r>
      <w:proofErr w:type="spellEnd"/>
      <w:r w:rsidRPr="00ED291D">
        <w:t xml:space="preserve"> selectivity/blocking requirements</w:t>
      </w:r>
    </w:p>
    <w:p w14:paraId="4ADE7DD1" w14:textId="23E685C2" w:rsidR="00D00BB4" w:rsidRDefault="00ED291D" w:rsidP="00ED291D">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299F074C" w14:textId="77777777" w:rsidR="00F762C7" w:rsidRPr="00F762C7" w:rsidRDefault="00F762C7" w:rsidP="00F762C7">
            <w:pPr>
              <w:numPr>
                <w:ilvl w:val="0"/>
                <w:numId w:val="26"/>
              </w:numPr>
            </w:pPr>
            <w:r w:rsidRPr="00F762C7">
              <w:t xml:space="preserve">Way forward: </w:t>
            </w:r>
          </w:p>
          <w:p w14:paraId="54E7C9DF" w14:textId="77777777" w:rsidR="00F762C7" w:rsidRPr="00F762C7" w:rsidRDefault="00F762C7" w:rsidP="00F762C7">
            <w:pPr>
              <w:numPr>
                <w:ilvl w:val="1"/>
                <w:numId w:val="26"/>
              </w:numPr>
            </w:pPr>
            <w:r w:rsidRPr="00F762C7">
              <w:t xml:space="preserve">FFS the necessity of in-channel adjacent </w:t>
            </w:r>
            <w:proofErr w:type="spellStart"/>
            <w:r w:rsidRPr="00F762C7">
              <w:t>subband</w:t>
            </w:r>
            <w:proofErr w:type="spellEnd"/>
            <w:r w:rsidRPr="00F762C7">
              <w:t xml:space="preserve"> selectivity requirements</w:t>
            </w:r>
          </w:p>
          <w:p w14:paraId="5B3852FE" w14:textId="77777777" w:rsidR="00F762C7" w:rsidRPr="00F762C7" w:rsidRDefault="00F762C7" w:rsidP="00F762C7">
            <w:pPr>
              <w:numPr>
                <w:ilvl w:val="2"/>
                <w:numId w:val="26"/>
              </w:numPr>
            </w:pPr>
            <w:r w:rsidRPr="00F762C7">
              <w:t xml:space="preserve">Option 1: No necessity to introduce new requirement for in-channel adjacent </w:t>
            </w:r>
            <w:proofErr w:type="spellStart"/>
            <w:r w:rsidRPr="00F762C7">
              <w:t>subband</w:t>
            </w:r>
            <w:proofErr w:type="spellEnd"/>
            <w:r w:rsidRPr="00F762C7">
              <w:t xml:space="preserve"> selectivity. </w:t>
            </w:r>
          </w:p>
          <w:p w14:paraId="1AD4B218" w14:textId="77777777" w:rsidR="00F762C7" w:rsidRPr="00F762C7" w:rsidRDefault="00F762C7" w:rsidP="00F762C7">
            <w:pPr>
              <w:numPr>
                <w:ilvl w:val="2"/>
                <w:numId w:val="26"/>
              </w:numPr>
            </w:pPr>
            <w:r w:rsidRPr="00F762C7">
              <w:t xml:space="preserve">Option 2: New requirement for in-channel adjacent </w:t>
            </w:r>
            <w:proofErr w:type="spellStart"/>
            <w:r w:rsidRPr="00F762C7">
              <w:t>subband</w:t>
            </w:r>
            <w:proofErr w:type="spellEnd"/>
            <w:r w:rsidRPr="00F762C7">
              <w:t xml:space="preserve"> selectivity should be defined. </w:t>
            </w:r>
          </w:p>
          <w:p w14:paraId="7A692D07" w14:textId="77777777" w:rsidR="00F762C7" w:rsidRDefault="00F762C7" w:rsidP="00D00BB4">
            <w:pPr>
              <w:numPr>
                <w:ilvl w:val="3"/>
                <w:numId w:val="26"/>
              </w:numPr>
            </w:pPr>
            <w:r w:rsidRPr="00F762C7">
              <w:t xml:space="preserve">Define a requirement on RX sub-band ACS </w:t>
            </w:r>
            <w:proofErr w:type="gramStart"/>
            <w:r w:rsidRPr="00F762C7">
              <w:t>similar to</w:t>
            </w:r>
            <w:proofErr w:type="gramEnd"/>
            <w:r w:rsidRPr="00F762C7">
              <w:t xml:space="preserve"> the ACS requirement and use existing ACS requirement as baseline.</w:t>
            </w:r>
          </w:p>
          <w:p w14:paraId="2FF170D6" w14:textId="77777777" w:rsidR="00ED291D" w:rsidRPr="00F762C7" w:rsidRDefault="00ED291D" w:rsidP="00ED291D">
            <w:pPr>
              <w:numPr>
                <w:ilvl w:val="0"/>
                <w:numId w:val="26"/>
              </w:numPr>
            </w:pPr>
            <w:r w:rsidRPr="00F762C7">
              <w:t xml:space="preserve">Way forward: </w:t>
            </w:r>
          </w:p>
          <w:p w14:paraId="5C828EFE" w14:textId="77777777" w:rsidR="00ED291D" w:rsidRPr="00F762C7" w:rsidRDefault="00ED291D" w:rsidP="00ED291D">
            <w:pPr>
              <w:numPr>
                <w:ilvl w:val="1"/>
                <w:numId w:val="26"/>
              </w:numPr>
            </w:pPr>
            <w:r w:rsidRPr="00F762C7">
              <w:t xml:space="preserve">FFS the necessity of in-channel adjacent </w:t>
            </w:r>
            <w:proofErr w:type="spellStart"/>
            <w:r w:rsidRPr="00F762C7">
              <w:t>subband</w:t>
            </w:r>
            <w:proofErr w:type="spellEnd"/>
            <w:r w:rsidRPr="00F762C7">
              <w:t xml:space="preserve"> </w:t>
            </w:r>
            <w:r w:rsidRPr="00F762C7">
              <w:rPr>
                <w:lang w:val="en-US"/>
              </w:rPr>
              <w:t xml:space="preserve">blocking </w:t>
            </w:r>
            <w:r w:rsidRPr="00F762C7">
              <w:t>requirements</w:t>
            </w:r>
          </w:p>
          <w:p w14:paraId="17B48A88" w14:textId="77777777" w:rsidR="00ED291D" w:rsidRPr="00F762C7" w:rsidRDefault="00ED291D" w:rsidP="00ED291D">
            <w:pPr>
              <w:numPr>
                <w:ilvl w:val="2"/>
                <w:numId w:val="26"/>
              </w:numPr>
            </w:pPr>
            <w:r w:rsidRPr="00F762C7">
              <w:t xml:space="preserve">Option 1: No necessity to introduce new requirement for in-channel adjacent </w:t>
            </w:r>
            <w:proofErr w:type="spellStart"/>
            <w:r w:rsidRPr="00F762C7">
              <w:t>subband</w:t>
            </w:r>
            <w:proofErr w:type="spellEnd"/>
            <w:r w:rsidRPr="00F762C7">
              <w:t xml:space="preserve"> blocking. </w:t>
            </w:r>
          </w:p>
          <w:p w14:paraId="4D531AC3" w14:textId="0433383C" w:rsidR="00ED291D" w:rsidRPr="00F762C7" w:rsidRDefault="00ED291D" w:rsidP="00ED291D">
            <w:pPr>
              <w:numPr>
                <w:ilvl w:val="3"/>
                <w:numId w:val="26"/>
              </w:numPr>
            </w:pPr>
            <w:r w:rsidRPr="00F762C7">
              <w:t xml:space="preserve">Option 2: New requirement for in-channel adjacent </w:t>
            </w:r>
            <w:proofErr w:type="spellStart"/>
            <w:r w:rsidRPr="00F762C7">
              <w:t>subband</w:t>
            </w:r>
            <w:proofErr w:type="spellEnd"/>
            <w:r w:rsidRPr="00F762C7">
              <w:t xml:space="preserve"> blocking should be defined.</w:t>
            </w:r>
          </w:p>
        </w:tc>
      </w:tr>
    </w:tbl>
    <w:p w14:paraId="38209FF9" w14:textId="77777777" w:rsidR="00F762C7" w:rsidRDefault="00F762C7" w:rsidP="00D00BB4">
      <w:pPr>
        <w:rPr>
          <w:lang w:val="en-US"/>
        </w:rPr>
      </w:pPr>
    </w:p>
    <w:p w14:paraId="5C44F37A" w14:textId="7E1F7557" w:rsidR="00ED291D" w:rsidRPr="00ED291D" w:rsidRDefault="00ED291D" w:rsidP="00ED291D">
      <w:pPr>
        <w:rPr>
          <w:lang w:val="en-US"/>
        </w:rPr>
      </w:pPr>
      <w:r w:rsidRPr="00ED291D">
        <w:rPr>
          <w:lang w:val="en-US"/>
        </w:rPr>
        <w:t>The following was agreed in RAN4#112bis:</w:t>
      </w:r>
    </w:p>
    <w:tbl>
      <w:tblPr>
        <w:tblStyle w:val="TableGrid"/>
        <w:tblW w:w="0" w:type="auto"/>
        <w:tblLook w:val="04A0" w:firstRow="1" w:lastRow="0" w:firstColumn="1" w:lastColumn="0" w:noHBand="0" w:noVBand="1"/>
      </w:tblPr>
      <w:tblGrid>
        <w:gridCol w:w="9629"/>
      </w:tblGrid>
      <w:tr w:rsidR="00ED291D" w14:paraId="28E1B3C9" w14:textId="77777777" w:rsidTr="00ED291D">
        <w:tc>
          <w:tcPr>
            <w:tcW w:w="9629" w:type="dxa"/>
          </w:tcPr>
          <w:p w14:paraId="33CB8D87" w14:textId="77777777" w:rsidR="00ED291D" w:rsidRPr="00525D11" w:rsidRDefault="00ED291D" w:rsidP="00ED291D">
            <w:pPr>
              <w:spacing w:after="120" w:line="259" w:lineRule="auto"/>
              <w:rPr>
                <w:lang w:val="en-US"/>
              </w:rPr>
            </w:pPr>
            <w:r w:rsidRPr="00525D11">
              <w:rPr>
                <w:lang w:val="en-US"/>
              </w:rPr>
              <w:t xml:space="preserve">Way Forward: </w:t>
            </w:r>
          </w:p>
          <w:p w14:paraId="2301359B" w14:textId="77777777" w:rsidR="00ED291D" w:rsidRPr="00ED291D" w:rsidRDefault="00ED291D" w:rsidP="00ED291D">
            <w:pPr>
              <w:pStyle w:val="ListParagraph"/>
              <w:numPr>
                <w:ilvl w:val="0"/>
                <w:numId w:val="19"/>
              </w:numPr>
              <w:spacing w:after="120" w:line="259" w:lineRule="auto"/>
              <w:ind w:left="720"/>
              <w:contextualSpacing w:val="0"/>
              <w:rPr>
                <w:sz w:val="20"/>
                <w:szCs w:val="20"/>
                <w:lang w:val="en-US"/>
              </w:rPr>
            </w:pPr>
            <w:r w:rsidRPr="00ED291D">
              <w:rPr>
                <w:rFonts w:hint="eastAsia"/>
                <w:sz w:val="20"/>
                <w:szCs w:val="20"/>
                <w:lang w:val="en-US"/>
              </w:rPr>
              <w:t>F</w:t>
            </w:r>
            <w:r w:rsidRPr="00ED291D">
              <w:rPr>
                <w:sz w:val="20"/>
                <w:szCs w:val="20"/>
                <w:lang w:val="en-US"/>
              </w:rPr>
              <w:t xml:space="preserve">FS based on the way forward approved in RAN4#112. </w:t>
            </w:r>
          </w:p>
          <w:p w14:paraId="3046D838" w14:textId="48B950F6" w:rsidR="00ED291D" w:rsidRPr="00ED291D" w:rsidRDefault="00ED291D" w:rsidP="00D00BB4">
            <w:pPr>
              <w:pStyle w:val="ListParagraph"/>
              <w:numPr>
                <w:ilvl w:val="1"/>
                <w:numId w:val="19"/>
              </w:numPr>
              <w:spacing w:after="120" w:line="259" w:lineRule="auto"/>
              <w:contextualSpacing w:val="0"/>
              <w:rPr>
                <w:lang w:val="en-US"/>
              </w:rPr>
            </w:pPr>
            <w:r w:rsidRPr="00ED291D">
              <w:rPr>
                <w:rFonts w:hint="eastAsia"/>
                <w:sz w:val="20"/>
                <w:szCs w:val="20"/>
                <w:lang w:val="en-US"/>
              </w:rPr>
              <w:t>C</w:t>
            </w:r>
            <w:r w:rsidRPr="00ED291D">
              <w:rPr>
                <w:sz w:val="20"/>
                <w:szCs w:val="20"/>
                <w:lang w:val="en-US"/>
              </w:rPr>
              <w:t xml:space="preserve">onsider the possibility of specifying RX requirement to cover both in-channel adjacent </w:t>
            </w:r>
            <w:proofErr w:type="spellStart"/>
            <w:r w:rsidRPr="00ED291D">
              <w:rPr>
                <w:sz w:val="20"/>
                <w:szCs w:val="20"/>
                <w:lang w:val="en-US"/>
              </w:rPr>
              <w:t>subband</w:t>
            </w:r>
            <w:proofErr w:type="spellEnd"/>
            <w:r w:rsidRPr="00ED291D">
              <w:rPr>
                <w:sz w:val="20"/>
                <w:szCs w:val="20"/>
                <w:lang w:val="en-US"/>
              </w:rPr>
              <w:t xml:space="preserve"> selectivity/blocking requirements</w:t>
            </w:r>
          </w:p>
        </w:tc>
      </w:tr>
    </w:tbl>
    <w:p w14:paraId="45E85292" w14:textId="77777777" w:rsidR="00F762C7" w:rsidRPr="00F762C7" w:rsidRDefault="00F762C7" w:rsidP="00D00BB4">
      <w:pPr>
        <w:rPr>
          <w:lang w:val="en-US"/>
        </w:rPr>
      </w:pPr>
    </w:p>
    <w:p w14:paraId="13D9DD88" w14:textId="08B9CFFF" w:rsidR="00FE5BA5" w:rsidRDefault="00FE5BA5" w:rsidP="00D00BB4"/>
    <w:p w14:paraId="180FE2A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3DE33755"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50CE9EFB" w14:textId="19A8E39B" w:rsidR="00D00BB4" w:rsidRPr="00F37BC9" w:rsidRDefault="00F762C7" w:rsidP="00D00BB4">
      <w:pPr>
        <w:rPr>
          <w:rStyle w:val="normaltextrun"/>
        </w:rPr>
      </w:pPr>
      <w:r>
        <w:rPr>
          <w:rStyle w:val="normaltextrun"/>
        </w:rPr>
        <w:t>For the options listed in the WF, we see that option 2 is needed to be selected here.</w:t>
      </w:r>
      <w:r w:rsidRPr="00F37BC9">
        <w:rPr>
          <w:rStyle w:val="normaltextrun"/>
        </w:rPr>
        <w:t xml:space="preserve"> </w:t>
      </w:r>
      <w:r w:rsidR="00D00BB4" w:rsidRPr="00F37BC9">
        <w:rPr>
          <w:rStyle w:val="normaltextrun"/>
        </w:rPr>
        <w:t xml:space="preserve">Currently, the adjacent channel selectivity (ACS) is defined as a measure of the receiver's ability to receive a wanted signal at its assigned channel frequency in the presence of an adjacent channel signal with a specified centre frequency offset of the interfering signal to the band edge of a victim system. The in-band blocking is defined as: </w:t>
      </w:r>
      <w:r w:rsidR="00D00BB4" w:rsidRPr="00F37BC9">
        <w:rPr>
          <w:lang w:eastAsia="ko-KR"/>
        </w:rPr>
        <w:t>a measure of the receiver</w:t>
      </w:r>
      <w:r w:rsidR="00D00BB4" w:rsidRPr="00F37BC9">
        <w:t>'</w:t>
      </w:r>
      <w:r w:rsidR="00D00BB4" w:rsidRPr="00F37BC9">
        <w:rPr>
          <w:lang w:eastAsia="ko-KR"/>
        </w:rPr>
        <w:t>s ability to receive a wanted signal at its assigned channel</w:t>
      </w:r>
      <w:r w:rsidR="00D00BB4" w:rsidRPr="00F37BC9">
        <w:t xml:space="preserve"> </w:t>
      </w:r>
      <w:r w:rsidR="00D00BB4" w:rsidRPr="00F37BC9">
        <w:rPr>
          <w:lang w:eastAsia="ko-KR"/>
        </w:rPr>
        <w:t>in the presence of an unwanted interferer, which is an NR signal for general blocking or an NR signal with one resource block for narrowband blocking.</w:t>
      </w:r>
    </w:p>
    <w:p w14:paraId="21B5DAA1" w14:textId="3CCC6C92"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In case of SBFD, the sub-band selectivity and blocking would be measured considering the </w:t>
      </w:r>
      <w:r w:rsidR="008331C3">
        <w:rPr>
          <w:rStyle w:val="normaltextrun"/>
          <w:sz w:val="20"/>
          <w:szCs w:val="20"/>
          <w:lang w:val="en-US"/>
        </w:rPr>
        <w:t>locations of</w:t>
      </w:r>
      <w:r w:rsidRPr="00B95F81">
        <w:rPr>
          <w:rStyle w:val="normaltextrun"/>
          <w:sz w:val="20"/>
          <w:szCs w:val="20"/>
          <w:lang w:val="en-US"/>
        </w:rPr>
        <w:t xml:space="preserve"> the UL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and the DL </w:t>
      </w:r>
      <w:proofErr w:type="spellStart"/>
      <w:r w:rsidRPr="00B95F81">
        <w:rPr>
          <w:rStyle w:val="normaltextrun"/>
          <w:sz w:val="20"/>
          <w:szCs w:val="20"/>
          <w:lang w:val="en-US"/>
        </w:rPr>
        <w:t>subbands</w:t>
      </w:r>
      <w:proofErr w:type="spellEnd"/>
      <w:r w:rsidRPr="00B95F81">
        <w:rPr>
          <w:rStyle w:val="normaltextrun"/>
          <w:sz w:val="20"/>
          <w:szCs w:val="20"/>
          <w:lang w:val="en-US"/>
        </w:rPr>
        <w:t>.</w:t>
      </w:r>
    </w:p>
    <w:p w14:paraId="589104F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02C8419" w14:textId="31269064"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mentioned before, the gNB operating in SBFD would suffer from self-interference, </w:t>
      </w:r>
      <w:r w:rsidR="00D230BD">
        <w:rPr>
          <w:rStyle w:val="normaltextrun"/>
          <w:sz w:val="20"/>
          <w:szCs w:val="20"/>
          <w:lang w:val="en-US"/>
        </w:rPr>
        <w:t xml:space="preserve">co-site </w:t>
      </w:r>
      <w:r w:rsidRPr="00B95F81">
        <w:rPr>
          <w:rStyle w:val="normaltextrun"/>
          <w:sz w:val="20"/>
          <w:szCs w:val="20"/>
          <w:lang w:val="en-US"/>
        </w:rPr>
        <w:t xml:space="preserve">inter-sector interference and inter-site interference. Therefore, there should be a requirement for the in-channel adjacent sub-band selectivity or blocking. Again, it can be argued that the in-channel adjacent sub-band selectivity can be captured in the OTA sensitivity requirements. However, as in the in-channel adjacent sub-band leakage ratio case, this test does not capture the selectivity in the presence of </w:t>
      </w:r>
      <w:r w:rsidR="00E53061">
        <w:rPr>
          <w:rStyle w:val="normaltextrun"/>
          <w:sz w:val="20"/>
          <w:szCs w:val="20"/>
          <w:lang w:val="en-US"/>
        </w:rPr>
        <w:t xml:space="preserve">co-site </w:t>
      </w:r>
      <w:r w:rsidRPr="00B95F81">
        <w:rPr>
          <w:rStyle w:val="normaltextrun"/>
          <w:sz w:val="20"/>
          <w:szCs w:val="20"/>
          <w:lang w:val="en-US"/>
        </w:rPr>
        <w:t>inter-sector and inter-</w:t>
      </w:r>
      <w:r w:rsidR="00E53061">
        <w:rPr>
          <w:rStyle w:val="normaltextrun"/>
          <w:sz w:val="20"/>
          <w:szCs w:val="20"/>
          <w:lang w:val="en-US"/>
        </w:rPr>
        <w:t>site</w:t>
      </w:r>
      <w:r w:rsidRPr="00B95F81">
        <w:rPr>
          <w:rStyle w:val="normaltextrun"/>
          <w:sz w:val="20"/>
          <w:szCs w:val="20"/>
          <w:lang w:val="en-US"/>
        </w:rPr>
        <w:t xml:space="preserve"> interference. Furthermore, there might be base stations</w:t>
      </w:r>
      <w:r w:rsidR="000C0B18">
        <w:rPr>
          <w:rStyle w:val="normaltextrun"/>
          <w:sz w:val="20"/>
          <w:szCs w:val="20"/>
          <w:lang w:val="en-US"/>
        </w:rPr>
        <w:t xml:space="preserve"> from</w:t>
      </w:r>
      <w:r w:rsidRPr="00B95F81">
        <w:rPr>
          <w:rStyle w:val="normaltextrun"/>
          <w:sz w:val="20"/>
          <w:szCs w:val="20"/>
          <w:lang w:val="en-US"/>
        </w:rPr>
        <w:t xml:space="preserve"> different vendors in the same network. That is why these requirements are needed to ensure interoperability between these base stations.</w:t>
      </w:r>
    </w:p>
    <w:p w14:paraId="580033E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1AD4E158" w14:textId="7885542C" w:rsidR="00D00BB4" w:rsidRPr="00F37BC9" w:rsidRDefault="00D00BB4" w:rsidP="00D00BB4">
      <w:pPr>
        <w:rPr>
          <w:rStyle w:val="normaltextrun"/>
        </w:rPr>
      </w:pPr>
      <w:r w:rsidRPr="00F37BC9">
        <w:rPr>
          <w:rStyle w:val="normaltextrun"/>
        </w:rPr>
        <w:t xml:space="preserve">Regarding whether both the in-channel adjacent sub-band selectivity and blocking requirements should be created, it is important to discuss how the existing adjacent channel and in-band blocking requirements are defined and tested. The </w:t>
      </w:r>
      <w:r w:rsidR="00F27E4D">
        <w:rPr>
          <w:rStyle w:val="normaltextrun"/>
        </w:rPr>
        <w:t xml:space="preserve">current </w:t>
      </w:r>
      <w:r w:rsidRPr="00F37BC9">
        <w:rPr>
          <w:rStyle w:val="normaltextrun"/>
        </w:rPr>
        <w:t>tests differ in terms of:</w:t>
      </w:r>
    </w:p>
    <w:p w14:paraId="73D5A310" w14:textId="6F9132AB"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frequency offset between the RF bandwidth edge and the </w:t>
      </w:r>
      <w:proofErr w:type="spellStart"/>
      <w:r w:rsidRPr="00527DFD">
        <w:rPr>
          <w:rStyle w:val="normaltextrun"/>
          <w:sz w:val="20"/>
          <w:szCs w:val="20"/>
          <w:lang w:val="en-GB" w:eastAsia="en-US"/>
        </w:rPr>
        <w:t>center</w:t>
      </w:r>
      <w:proofErr w:type="spellEnd"/>
      <w:r w:rsidRPr="00527DFD">
        <w:rPr>
          <w:rStyle w:val="normaltextrun"/>
          <w:sz w:val="20"/>
          <w:szCs w:val="20"/>
          <w:lang w:val="en-GB" w:eastAsia="en-US"/>
        </w:rPr>
        <w:t xml:space="preserve"> frequency of the unwanted signal</w:t>
      </w:r>
    </w:p>
    <w:p w14:paraId="65DDA28F" w14:textId="77777777"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unwanted signal power level </w:t>
      </w:r>
    </w:p>
    <w:p w14:paraId="081A44CC" w14:textId="7C127CAB" w:rsidR="00D00BB4" w:rsidRPr="00F762C7" w:rsidRDefault="00D00BB4" w:rsidP="00F762C7">
      <w:pPr>
        <w:rPr>
          <w:rStyle w:val="normaltextrun"/>
        </w:rPr>
      </w:pPr>
      <w:r w:rsidRPr="00F37BC9">
        <w:rPr>
          <w:rStyle w:val="normaltextrun"/>
        </w:rPr>
        <w:t xml:space="preserve">In case of assessment of the in-channel adjacent sub-band selectivity or blocking test, the frequency offset should the same, since it depends on the configuration of the UL and DL sub-bands. </w:t>
      </w:r>
      <w:r w:rsidR="00AC70AC">
        <w:rPr>
          <w:rStyle w:val="normaltextrun"/>
        </w:rPr>
        <w:t>Therefore</w:t>
      </w:r>
      <w:r w:rsidR="00BF7860">
        <w:rPr>
          <w:rStyle w:val="normaltextrun"/>
        </w:rPr>
        <w:t>,</w:t>
      </w:r>
      <w:r w:rsidR="00AC70AC">
        <w:rPr>
          <w:rStyle w:val="normaltextrun"/>
        </w:rPr>
        <w:t xml:space="preserve"> </w:t>
      </w:r>
      <w:r w:rsidR="00CE3ACD">
        <w:rPr>
          <w:rStyle w:val="normaltextrun"/>
        </w:rPr>
        <w:t xml:space="preserve">we see that </w:t>
      </w:r>
      <w:r w:rsidR="00AC70AC">
        <w:rPr>
          <w:rStyle w:val="normaltextrun"/>
        </w:rPr>
        <w:t xml:space="preserve">this new requirement should not be named selectivity </w:t>
      </w:r>
      <w:r w:rsidR="00B11ABD">
        <w:rPr>
          <w:rStyle w:val="normaltextrun"/>
        </w:rPr>
        <w:t>or blocking but it would require a new nam</w:t>
      </w:r>
      <w:r w:rsidR="00E46885">
        <w:rPr>
          <w:rStyle w:val="normaltextrun"/>
        </w:rPr>
        <w:t>e</w:t>
      </w:r>
      <w:r w:rsidR="00CB7AA9">
        <w:rPr>
          <w:rStyle w:val="normaltextrun"/>
        </w:rPr>
        <w:t xml:space="preserve"> to not cause confusion. </w:t>
      </w:r>
      <w:r w:rsidR="007B47CF">
        <w:rPr>
          <w:rStyle w:val="normaltextrun"/>
        </w:rPr>
        <w:t>Both b</w:t>
      </w:r>
      <w:r w:rsidR="00CB7AA9">
        <w:rPr>
          <w:rStyle w:val="normaltextrun"/>
        </w:rPr>
        <w:t xml:space="preserve">locking and selectivity requirements </w:t>
      </w:r>
      <w:r w:rsidR="00AB4230">
        <w:rPr>
          <w:rStyle w:val="normaltextrun"/>
        </w:rPr>
        <w:t>need to</w:t>
      </w:r>
      <w:r w:rsidR="00CB7AA9">
        <w:rPr>
          <w:rStyle w:val="normaltextrun"/>
        </w:rPr>
        <w:t xml:space="preserve"> be studied and more stringent should be </w:t>
      </w:r>
      <w:r w:rsidR="00BF7860">
        <w:rPr>
          <w:rStyle w:val="normaltextrun"/>
        </w:rPr>
        <w:t>selected as the limit of the requirement to cover the worst case.</w:t>
      </w:r>
    </w:p>
    <w:p w14:paraId="57F6BF7B" w14:textId="0F3A0615" w:rsidR="000D38E0" w:rsidRPr="000D38E0" w:rsidRDefault="009516DA" w:rsidP="0059373F">
      <w:pPr>
        <w:pStyle w:val="Proposal"/>
      </w:pPr>
      <w:r>
        <w:rPr>
          <w:rStyle w:val="normaltextrun"/>
        </w:rPr>
        <w:t xml:space="preserve"> </w:t>
      </w:r>
      <w:r w:rsidR="00D00BB4" w:rsidRPr="4C176E9B">
        <w:rPr>
          <w:rStyle w:val="normaltextrun"/>
        </w:rPr>
        <w:t>RAN4 to define</w:t>
      </w:r>
      <w:r w:rsidR="00D00BB4">
        <w:rPr>
          <w:rStyle w:val="normaltextrun"/>
        </w:rPr>
        <w:t xml:space="preserve"> </w:t>
      </w:r>
      <w:r w:rsidR="00D00BB4" w:rsidRPr="4C176E9B">
        <w:rPr>
          <w:rStyle w:val="normaltextrun"/>
        </w:rPr>
        <w:t xml:space="preserve">in-channel adjacent sub-band </w:t>
      </w:r>
      <w:r w:rsidR="002E4B7B">
        <w:rPr>
          <w:rStyle w:val="normaltextrun"/>
        </w:rPr>
        <w:t>RX</w:t>
      </w:r>
      <w:r w:rsidR="002E4B7B" w:rsidRPr="4C176E9B">
        <w:rPr>
          <w:rStyle w:val="normaltextrun"/>
        </w:rPr>
        <w:t xml:space="preserve"> </w:t>
      </w:r>
      <w:r w:rsidR="001B1222">
        <w:rPr>
          <w:rStyle w:val="normaltextrun"/>
        </w:rPr>
        <w:t>requi</w:t>
      </w:r>
      <w:r w:rsidR="00D00BB4" w:rsidRPr="4C176E9B">
        <w:rPr>
          <w:rStyle w:val="normaltextrun"/>
        </w:rPr>
        <w:t>rement</w:t>
      </w:r>
      <w:r w:rsidR="00E46885">
        <w:rPr>
          <w:rStyle w:val="normaltextrun"/>
        </w:rPr>
        <w:t xml:space="preserve"> to cover both selectivity and blocking requirement</w:t>
      </w:r>
      <w:r w:rsidR="00D00BB4" w:rsidRPr="4C176E9B">
        <w:rPr>
          <w:rStyle w:val="normaltextrun"/>
        </w:rPr>
        <w:t>.</w:t>
      </w:r>
    </w:p>
    <w:p w14:paraId="069DE8F5" w14:textId="77777777" w:rsidR="00BA2AD8" w:rsidRPr="00BA2AD8" w:rsidRDefault="00BA2AD8" w:rsidP="00BA2AD8">
      <w:pPr>
        <w:pStyle w:val="00BodyText"/>
      </w:pPr>
      <w:bookmarkStart w:id="6" w:name="OLE_LINK5"/>
      <w:bookmarkStart w:id="7" w:name="_Hlk118714984"/>
    </w:p>
    <w:bookmarkEnd w:id="2"/>
    <w:bookmarkEnd w:id="6"/>
    <w:bookmarkEnd w:id="7"/>
    <w:p w14:paraId="10445A01" w14:textId="65BF2491" w:rsidR="00885580" w:rsidRDefault="007820D0" w:rsidP="00885580">
      <w:pPr>
        <w:pStyle w:val="Heading1"/>
      </w:pPr>
      <w:r>
        <w:t>Conclusion</w:t>
      </w:r>
    </w:p>
    <w:p w14:paraId="3D5BC62E" w14:textId="5032260D"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58E46837" w14:textId="770F8140" w:rsidR="00451D58" w:rsidRPr="00451D58" w:rsidRDefault="00F7687D" w:rsidP="00451D58">
      <w:pPr>
        <w:pStyle w:val="Observation"/>
        <w:numPr>
          <w:ilvl w:val="0"/>
          <w:numId w:val="18"/>
        </w:numPr>
      </w:pPr>
      <w:r>
        <w:t>On transient period requirements,</w:t>
      </w:r>
      <w:r w:rsidRPr="00F37BC9">
        <w:t xml:space="preserve"> </w:t>
      </w:r>
      <w:r w:rsidRPr="003168E8">
        <w:t>that SBFD antenna configuration option 1, 2, 3 mentioned in R4-2416498 were discussed in Rel-18 by RAN1/RAN4 for the purposes of performance evaluation, but no agreement on normative specification impact has been made</w:t>
      </w:r>
      <w:r w:rsidR="00451D58" w:rsidRPr="00451D58">
        <w:t>.</w:t>
      </w:r>
    </w:p>
    <w:p w14:paraId="7D66CDCC" w14:textId="1BC77EEE" w:rsidR="00451D58" w:rsidRPr="00451D58" w:rsidRDefault="0029754A" w:rsidP="00451D58">
      <w:pPr>
        <w:pStyle w:val="Observation"/>
        <w:numPr>
          <w:ilvl w:val="0"/>
          <w:numId w:val="18"/>
        </w:numPr>
      </w:pPr>
      <w:r w:rsidRPr="00F37BC9">
        <w:rPr>
          <w:rStyle w:val="normaltextrun"/>
        </w:rPr>
        <w:t>The OTA sensitivity requirement does not capture the effects from</w:t>
      </w:r>
      <w:r>
        <w:rPr>
          <w:rStyle w:val="normaltextrun"/>
        </w:rPr>
        <w:t xml:space="preserve"> co-site</w:t>
      </w:r>
      <w:r w:rsidRPr="00F37BC9">
        <w:rPr>
          <w:rStyle w:val="normaltextrun"/>
        </w:rPr>
        <w:t xml:space="preserve"> inter-sector and inter-</w:t>
      </w:r>
      <w:r>
        <w:rPr>
          <w:rStyle w:val="normaltextrun"/>
        </w:rPr>
        <w:t>site</w:t>
      </w:r>
      <w:r w:rsidRPr="00F37BC9">
        <w:rPr>
          <w:rStyle w:val="normaltextrun"/>
        </w:rPr>
        <w:t xml:space="preserve"> interference</w:t>
      </w:r>
      <w:r w:rsidR="00451D58" w:rsidRPr="00451D58">
        <w:t>.</w:t>
      </w:r>
    </w:p>
    <w:p w14:paraId="18BD87A9" w14:textId="30243B9A" w:rsidR="00451D58" w:rsidRDefault="0029754A" w:rsidP="00366497">
      <w:pPr>
        <w:pStyle w:val="Observation"/>
        <w:numPr>
          <w:ilvl w:val="0"/>
          <w:numId w:val="18"/>
        </w:numPr>
        <w:rPr>
          <w:rStyle w:val="normaltextrun"/>
        </w:rPr>
      </w:pPr>
      <w:r w:rsidRPr="00F37BC9">
        <w:t>In</w:t>
      </w:r>
      <w:r>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r w:rsidR="00451D58" w:rsidRPr="00F37BC9">
        <w:rPr>
          <w:rStyle w:val="normaltextrun"/>
        </w:rPr>
        <w:t>.</w:t>
      </w:r>
    </w:p>
    <w:p w14:paraId="40CC6BB4" w14:textId="31E01626" w:rsidR="00451D58" w:rsidRDefault="0029754A" w:rsidP="00451D58">
      <w:pPr>
        <w:pStyle w:val="Observation"/>
        <w:numPr>
          <w:ilvl w:val="0"/>
          <w:numId w:val="18"/>
        </w:numPr>
      </w:pPr>
      <w:r w:rsidRPr="00F37BC9">
        <w:t xml:space="preserve">Even though RAN4 has not agreed on a reference implementation for SBFD operation, minimum requirements can still be defined to </w:t>
      </w:r>
      <w:r>
        <w:t>enable</w:t>
      </w:r>
      <w:r w:rsidRPr="00F37BC9">
        <w:t xml:space="preserve"> proper operation considering self-interference, </w:t>
      </w:r>
      <w:r>
        <w:t xml:space="preserve">co-site </w:t>
      </w:r>
      <w:r w:rsidRPr="00F37BC9">
        <w:t>inter-s</w:t>
      </w:r>
      <w:r>
        <w:t>ector</w:t>
      </w:r>
      <w:r w:rsidRPr="00F37BC9">
        <w:t xml:space="preserve"> and inter-</w:t>
      </w:r>
      <w:r>
        <w:t>site</w:t>
      </w:r>
      <w:r w:rsidRPr="00F37BC9">
        <w:t xml:space="preserve"> interference</w:t>
      </w:r>
      <w:r w:rsidR="00451D58" w:rsidRPr="00F37BC9">
        <w:t>.</w:t>
      </w:r>
    </w:p>
    <w:p w14:paraId="6339C285" w14:textId="0322F5C5" w:rsidR="00BA109D" w:rsidRPr="00621D2D" w:rsidRDefault="001D136C" w:rsidP="006E4B49">
      <w:pPr>
        <w:pStyle w:val="Proposal"/>
        <w:numPr>
          <w:ilvl w:val="0"/>
          <w:numId w:val="0"/>
        </w:numPr>
        <w:ind w:left="502" w:hanging="360"/>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p>
    <w:p w14:paraId="0EF0DEF9" w14:textId="1C34BE5A" w:rsidR="00BA109D" w:rsidRDefault="00BD3E37" w:rsidP="00BA109D">
      <w:pPr>
        <w:pStyle w:val="Proposal"/>
        <w:numPr>
          <w:ilvl w:val="0"/>
          <w:numId w:val="17"/>
        </w:numPr>
      </w:pPr>
      <w:r>
        <w:t xml:space="preserve"> </w:t>
      </w:r>
      <w:r w:rsidR="00E95DFB" w:rsidRPr="00513282">
        <w:t xml:space="preserve">For introduction of new BS RF requirements for SBFD operation, solution with creating new </w:t>
      </w:r>
      <w:r w:rsidR="00E95DFB">
        <w:t xml:space="preserve">specification </w:t>
      </w:r>
      <w:r w:rsidR="00E95DFB" w:rsidRPr="00513282">
        <w:t>is proposed</w:t>
      </w:r>
      <w:r w:rsidR="00E95DFB">
        <w:t xml:space="preserve"> (option 3)</w:t>
      </w:r>
      <w:r w:rsidR="00BA109D">
        <w:t xml:space="preserve">. </w:t>
      </w:r>
    </w:p>
    <w:p w14:paraId="0365F59D" w14:textId="35CB54E1" w:rsidR="00C74000" w:rsidRPr="00621D2D" w:rsidRDefault="00BD3E37" w:rsidP="00621D2D">
      <w:pPr>
        <w:pStyle w:val="Proposal"/>
        <w:numPr>
          <w:ilvl w:val="0"/>
          <w:numId w:val="17"/>
        </w:numPr>
      </w:pPr>
      <w:r>
        <w:t xml:space="preserve"> </w:t>
      </w:r>
      <w:r w:rsidR="00F7687D">
        <w:rPr>
          <w:rStyle w:val="normaltextrun"/>
        </w:rPr>
        <w:t>Agreement on a text proposal on transmitter transient period for SBFD should wait for the discussion</w:t>
      </w:r>
      <w:r w:rsidR="00F7687D" w:rsidRPr="00883492">
        <w:rPr>
          <w:rStyle w:val="normaltextrun"/>
        </w:rPr>
        <w:t xml:space="preserve"> on whether SBFD would have a new dedicated specification for SBFD-capable BS RF requirements or sub-clauses for TS 38.104 would be used</w:t>
      </w:r>
      <w:r w:rsidR="00F7687D" w:rsidRPr="00F37BC9">
        <w:rPr>
          <w:rStyle w:val="normaltextrun"/>
        </w:rPr>
        <w:t>.</w:t>
      </w:r>
    </w:p>
    <w:p w14:paraId="4D52801E" w14:textId="0E9D06D1" w:rsidR="00C77EF6" w:rsidRDefault="00BD3E37" w:rsidP="00C74000">
      <w:pPr>
        <w:pStyle w:val="Proposal"/>
        <w:numPr>
          <w:ilvl w:val="0"/>
          <w:numId w:val="17"/>
        </w:numPr>
        <w:rPr>
          <w:rStyle w:val="normaltextrun"/>
        </w:rPr>
      </w:pPr>
      <w:r>
        <w:rPr>
          <w:rStyle w:val="normaltextrun"/>
        </w:rPr>
        <w:t xml:space="preserve"> </w:t>
      </w:r>
      <w:r w:rsidR="00F7687D">
        <w:rPr>
          <w:rStyle w:val="normaltextrun"/>
        </w:rPr>
        <w:t>Potential text proposal on transmitter transient period for SBFD should adhere</w:t>
      </w:r>
      <w:r w:rsidR="00F7687D" w:rsidRPr="00774F54">
        <w:t xml:space="preserve"> </w:t>
      </w:r>
      <w:r w:rsidR="00F7687D" w:rsidRPr="00774F54">
        <w:rPr>
          <w:rStyle w:val="normaltextrun"/>
        </w:rPr>
        <w:t>to the agreement reached in RAN4#112 where four transition cases were identified as shown in Table 1</w:t>
      </w:r>
      <w:r w:rsidR="00F7687D">
        <w:rPr>
          <w:rStyle w:val="normaltextrun"/>
        </w:rPr>
        <w:t>, without detailing gNB antenna configuration options</w:t>
      </w:r>
      <w:r w:rsidR="00115204" w:rsidRPr="00F37BC9">
        <w:rPr>
          <w:rStyle w:val="normaltextrun"/>
        </w:rPr>
        <w:t>.</w:t>
      </w:r>
    </w:p>
    <w:p w14:paraId="55638916" w14:textId="63DE908A" w:rsidR="00C77EF6" w:rsidRDefault="001D136C" w:rsidP="00C77EF6">
      <w:pPr>
        <w:pStyle w:val="Proposal"/>
        <w:rPr>
          <w:rStyle w:val="normaltextrun"/>
        </w:rPr>
      </w:pPr>
      <w:r>
        <w:rPr>
          <w:rStyle w:val="normaltextrun"/>
          <w:noProof/>
          <w:color w:val="000000" w:themeColor="text1"/>
          <w:sz w:val="22"/>
        </w:rPr>
        <w:lastRenderedPageBreak/>
        <w:fldChar w:fldCharType="end"/>
      </w:r>
      <w:r w:rsidR="00C77EF6" w:rsidRPr="00C77EF6">
        <w:rPr>
          <w:rStyle w:val="normaltextrun"/>
        </w:rPr>
        <w:t xml:space="preserve"> </w:t>
      </w:r>
      <w:r w:rsidR="0029754A" w:rsidRPr="00F37BC9">
        <w:rPr>
          <w:rStyle w:val="normaltextrun"/>
        </w:rPr>
        <w:t>RAN4 to define in-channel adjacent sub-band leakage ratio requirements within SBFD time slots considering</w:t>
      </w:r>
      <w:r w:rsidR="0029754A">
        <w:rPr>
          <w:rStyle w:val="normaltextrun"/>
        </w:rPr>
        <w:t xml:space="preserve"> co-site</w:t>
      </w:r>
      <w:r w:rsidR="0029754A" w:rsidRPr="00F37BC9">
        <w:rPr>
          <w:rStyle w:val="normaltextrun"/>
        </w:rPr>
        <w:t xml:space="preserve"> inter-sector interference and inter-site interference. Existing ACLR requirements could be used as baseline </w:t>
      </w:r>
      <w:r w:rsidR="0029754A">
        <w:rPr>
          <w:rStyle w:val="normaltextrun"/>
        </w:rPr>
        <w:t>depending on the ratio</w:t>
      </w:r>
      <w:r w:rsidR="0029754A" w:rsidRPr="00F37BC9">
        <w:rPr>
          <w:rStyle w:val="normaltextrun"/>
        </w:rPr>
        <w:t xml:space="preserve"> </w:t>
      </w:r>
      <w:r w:rsidR="0029754A">
        <w:rPr>
          <w:rStyle w:val="normaltextrun"/>
        </w:rPr>
        <w:t>between</w:t>
      </w:r>
      <w:r w:rsidR="0029754A" w:rsidRPr="00F37BC9">
        <w:rPr>
          <w:rStyle w:val="normaltextrun"/>
        </w:rPr>
        <w:t xml:space="preserve"> the</w:t>
      </w:r>
      <w:r w:rsidR="0029754A">
        <w:rPr>
          <w:rStyle w:val="normaltextrun"/>
        </w:rPr>
        <w:t xml:space="preserve"> bandwidths of the</w:t>
      </w:r>
      <w:r w:rsidR="0029754A" w:rsidRPr="00F37BC9">
        <w:rPr>
          <w:rStyle w:val="normaltextrun"/>
        </w:rPr>
        <w:t xml:space="preserve"> DL and </w:t>
      </w:r>
      <w:r w:rsidR="0029754A">
        <w:rPr>
          <w:rStyle w:val="normaltextrun"/>
        </w:rPr>
        <w:t xml:space="preserve">the </w:t>
      </w:r>
      <w:r w:rsidR="0029754A" w:rsidRPr="00F37BC9">
        <w:rPr>
          <w:rStyle w:val="normaltextrun"/>
        </w:rPr>
        <w:t xml:space="preserve">UL </w:t>
      </w:r>
      <w:proofErr w:type="spellStart"/>
      <w:r w:rsidR="0029754A" w:rsidRPr="00F37BC9">
        <w:rPr>
          <w:rStyle w:val="normaltextrun"/>
        </w:rPr>
        <w:t>subbands</w:t>
      </w:r>
      <w:proofErr w:type="spellEnd"/>
      <w:r w:rsidR="00C77EF6" w:rsidRPr="4C176E9B">
        <w:rPr>
          <w:rStyle w:val="normaltextrun"/>
        </w:rPr>
        <w:t>.</w:t>
      </w:r>
    </w:p>
    <w:p w14:paraId="11FE964A" w14:textId="3BDE3007" w:rsidR="0029754A" w:rsidRPr="0029754A" w:rsidRDefault="0029754A" w:rsidP="0029754A">
      <w:pPr>
        <w:pStyle w:val="Proposal"/>
      </w:pPr>
      <w:r>
        <w:t xml:space="preserve"> </w:t>
      </w:r>
      <w:r w:rsidRPr="4C176E9B">
        <w:rPr>
          <w:rStyle w:val="normaltextrun"/>
        </w:rPr>
        <w:t>RAN4 to define</w:t>
      </w:r>
      <w:r>
        <w:rPr>
          <w:rStyle w:val="normaltextrun"/>
        </w:rPr>
        <w:t xml:space="preserve"> </w:t>
      </w:r>
      <w:r w:rsidRPr="4C176E9B">
        <w:rPr>
          <w:rStyle w:val="normaltextrun"/>
        </w:rPr>
        <w:t xml:space="preserve">in-channel adjacent sub-band </w:t>
      </w:r>
      <w:r>
        <w:rPr>
          <w:rStyle w:val="normaltextrun"/>
        </w:rPr>
        <w:t>RX</w:t>
      </w:r>
      <w:r w:rsidRPr="4C176E9B">
        <w:rPr>
          <w:rStyle w:val="normaltextrun"/>
        </w:rPr>
        <w:t xml:space="preserve"> </w:t>
      </w:r>
      <w:r>
        <w:rPr>
          <w:rStyle w:val="normaltextrun"/>
        </w:rPr>
        <w:t>requi</w:t>
      </w:r>
      <w:r w:rsidRPr="4C176E9B">
        <w:rPr>
          <w:rStyle w:val="normaltextrun"/>
        </w:rPr>
        <w:t>rement</w:t>
      </w:r>
      <w:r>
        <w:rPr>
          <w:rStyle w:val="normaltextrun"/>
        </w:rPr>
        <w:t xml:space="preserve"> to cover both selectivity and blocking requirement.</w:t>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4703B822" w14:textId="1845D356" w:rsidR="00645305" w:rsidRPr="00AB6C19" w:rsidRDefault="00AB6C19" w:rsidP="00AB6C19">
      <w:pPr>
        <w:pStyle w:val="ListParagraph"/>
        <w:numPr>
          <w:ilvl w:val="0"/>
          <w:numId w:val="4"/>
        </w:numPr>
        <w:rPr>
          <w:sz w:val="20"/>
          <w:szCs w:val="20"/>
          <w:lang w:val="en-US"/>
        </w:rPr>
      </w:pPr>
      <w:r w:rsidRPr="00AB6C19">
        <w:rPr>
          <w:sz w:val="20"/>
          <w:szCs w:val="20"/>
          <w:lang w:val="en-US"/>
        </w:rPr>
        <w:t>R4-241658</w:t>
      </w:r>
      <w:r>
        <w:rPr>
          <w:sz w:val="20"/>
          <w:szCs w:val="20"/>
          <w:lang w:val="en-US"/>
        </w:rPr>
        <w:t>4</w:t>
      </w:r>
      <w:r w:rsidRPr="00AB6C19">
        <w:rPr>
          <w:sz w:val="20"/>
          <w:szCs w:val="20"/>
          <w:lang w:val="en-US"/>
        </w:rPr>
        <w:t xml:space="preserve"> “Way Forward for [112bis][30</w:t>
      </w:r>
      <w:r>
        <w:rPr>
          <w:sz w:val="20"/>
          <w:szCs w:val="20"/>
          <w:lang w:val="en-US"/>
        </w:rPr>
        <w:t>6</w:t>
      </w:r>
      <w:r w:rsidRPr="00AB6C19">
        <w:rPr>
          <w:sz w:val="20"/>
          <w:szCs w:val="20"/>
          <w:lang w:val="en-US"/>
        </w:rPr>
        <w:t xml:space="preserve">] </w:t>
      </w:r>
      <w:proofErr w:type="spellStart"/>
      <w:r w:rsidRPr="00AB6C19">
        <w:rPr>
          <w:sz w:val="20"/>
          <w:szCs w:val="20"/>
          <w:lang w:val="en-US"/>
        </w:rPr>
        <w:t>NR_duplex_evo_BSRF</w:t>
      </w:r>
      <w:proofErr w:type="spellEnd"/>
      <w:r w:rsidRPr="00AB6C19">
        <w:rPr>
          <w:sz w:val="20"/>
          <w:szCs w:val="20"/>
          <w:lang w:val="en-US"/>
        </w:rPr>
        <w:t xml:space="preserve">”, RAN4#113, Hefei, China, 14th-18th </w:t>
      </w:r>
      <w:proofErr w:type="gramStart"/>
      <w:r w:rsidRPr="00AB6C19">
        <w:rPr>
          <w:sz w:val="20"/>
          <w:szCs w:val="20"/>
          <w:lang w:val="en-US"/>
        </w:rPr>
        <w:t>October,</w:t>
      </w:r>
      <w:proofErr w:type="gramEnd"/>
      <w:r w:rsidRPr="00AB6C19">
        <w:rPr>
          <w:sz w:val="20"/>
          <w:szCs w:val="20"/>
          <w:lang w:val="en-US"/>
        </w:rPr>
        <w:t xml:space="preserve"> 2024</w:t>
      </w: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6D2BC" w14:textId="77777777" w:rsidR="0076194F" w:rsidRDefault="0076194F">
      <w:r>
        <w:separator/>
      </w:r>
    </w:p>
  </w:endnote>
  <w:endnote w:type="continuationSeparator" w:id="0">
    <w:p w14:paraId="6BDD5DBA" w14:textId="77777777" w:rsidR="0076194F" w:rsidRDefault="0076194F">
      <w:r>
        <w:continuationSeparator/>
      </w:r>
    </w:p>
  </w:endnote>
  <w:endnote w:type="continuationNotice" w:id="1">
    <w:p w14:paraId="0A1636F5" w14:textId="77777777" w:rsidR="0076194F" w:rsidRDefault="00761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97EAA" w14:textId="77777777" w:rsidR="0076194F" w:rsidRDefault="0076194F">
      <w:r>
        <w:separator/>
      </w:r>
    </w:p>
  </w:footnote>
  <w:footnote w:type="continuationSeparator" w:id="0">
    <w:p w14:paraId="7966BC66" w14:textId="77777777" w:rsidR="0076194F" w:rsidRDefault="0076194F">
      <w:r>
        <w:continuationSeparator/>
      </w:r>
    </w:p>
  </w:footnote>
  <w:footnote w:type="continuationNotice" w:id="1">
    <w:p w14:paraId="14419DE5" w14:textId="77777777" w:rsidR="0076194F" w:rsidRDefault="00761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313"/>
    <w:rsid w:val="0000136D"/>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B59"/>
    <w:rsid w:val="00031BB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709"/>
    <w:rsid w:val="000E68A1"/>
    <w:rsid w:val="000E69F5"/>
    <w:rsid w:val="000E6D50"/>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A5"/>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2B"/>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D53"/>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34D"/>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6FBB"/>
    <w:rsid w:val="0041700B"/>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777"/>
    <w:rsid w:val="00473A14"/>
    <w:rsid w:val="00473BAE"/>
    <w:rsid w:val="00473D9F"/>
    <w:rsid w:val="00473E63"/>
    <w:rsid w:val="00473EC4"/>
    <w:rsid w:val="00474061"/>
    <w:rsid w:val="004745A9"/>
    <w:rsid w:val="00474871"/>
    <w:rsid w:val="00474CA8"/>
    <w:rsid w:val="00474D33"/>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73F"/>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D11"/>
    <w:rsid w:val="00616F48"/>
    <w:rsid w:val="00617416"/>
    <w:rsid w:val="006175FC"/>
    <w:rsid w:val="0061783E"/>
    <w:rsid w:val="00617BB2"/>
    <w:rsid w:val="00620CCF"/>
    <w:rsid w:val="00620D68"/>
    <w:rsid w:val="00621189"/>
    <w:rsid w:val="006212D6"/>
    <w:rsid w:val="0062152A"/>
    <w:rsid w:val="00621753"/>
    <w:rsid w:val="00621808"/>
    <w:rsid w:val="00621833"/>
    <w:rsid w:val="00621A8A"/>
    <w:rsid w:val="00621BC2"/>
    <w:rsid w:val="00621D2D"/>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C17"/>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B3"/>
    <w:rsid w:val="008943B9"/>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17D"/>
    <w:rsid w:val="008C04A2"/>
    <w:rsid w:val="008C04DC"/>
    <w:rsid w:val="008C09D1"/>
    <w:rsid w:val="008C11CB"/>
    <w:rsid w:val="008C1246"/>
    <w:rsid w:val="008C16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5E46"/>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5F62"/>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90"/>
    <w:rsid w:val="00A90588"/>
    <w:rsid w:val="00A90A53"/>
    <w:rsid w:val="00A90B57"/>
    <w:rsid w:val="00A91244"/>
    <w:rsid w:val="00A9131F"/>
    <w:rsid w:val="00A91485"/>
    <w:rsid w:val="00A91681"/>
    <w:rsid w:val="00A91774"/>
    <w:rsid w:val="00A91C2D"/>
    <w:rsid w:val="00A91C7F"/>
    <w:rsid w:val="00A91F17"/>
    <w:rsid w:val="00A91F3E"/>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0AC"/>
    <w:rsid w:val="00AC70BE"/>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B43"/>
    <w:rsid w:val="00B04048"/>
    <w:rsid w:val="00B041B5"/>
    <w:rsid w:val="00B04C51"/>
    <w:rsid w:val="00B04D83"/>
    <w:rsid w:val="00B04F3D"/>
    <w:rsid w:val="00B05417"/>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3008"/>
    <w:rsid w:val="00B93191"/>
    <w:rsid w:val="00B93553"/>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8F3"/>
    <w:rsid w:val="00BF6F6B"/>
    <w:rsid w:val="00BF711C"/>
    <w:rsid w:val="00BF7272"/>
    <w:rsid w:val="00BF748E"/>
    <w:rsid w:val="00BF750B"/>
    <w:rsid w:val="00BF760F"/>
    <w:rsid w:val="00BF7860"/>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62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642"/>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24D"/>
    <w:rsid w:val="00DD3A75"/>
    <w:rsid w:val="00DD4165"/>
    <w:rsid w:val="00DD4262"/>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E0A"/>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A17"/>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113"/>
    <w:rsid w:val="00ED4126"/>
    <w:rsid w:val="00ED42E2"/>
    <w:rsid w:val="00ED42F2"/>
    <w:rsid w:val="00ED44F8"/>
    <w:rsid w:val="00ED4982"/>
    <w:rsid w:val="00ED4A6D"/>
    <w:rsid w:val="00ED4B9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365DBC9-E196-4192-ADD1-AEDDEB2FA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5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RBI5PAMIO524-1616901215-33259</_dlc_DocId>
    <_dlc_DocIdUrl xmlns="71c5aaf6-e6ce-465b-b873-5148d2a4c105">
      <Url>https://nokia.sharepoint.com/sites/gxp/_layouts/15/DocIdRedir.aspx?ID=RBI5PAMIO524-1616901215-33259</Url>
      <Description>RBI5PAMIO524-1616901215-33259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541</TotalTime>
  <Pages>6</Pages>
  <Words>2201</Words>
  <Characters>12550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216</cp:revision>
  <cp:lastPrinted>2016-06-24T22:35:00Z</cp:lastPrinted>
  <dcterms:created xsi:type="dcterms:W3CDTF">2024-08-09T19:34:00Z</dcterms:created>
  <dcterms:modified xsi:type="dcterms:W3CDTF">2024-11-08T14:46:00Z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d89272c7-60ad-46e3-8c70-4e9aedb7275c</vt:lpwstr>
  </property>
  <property fmtid="{D5CDD505-2E9C-101B-9397-08002B2CF9AE}" pid="9" name="MediaServiceImageTags">
    <vt:lpwstr/>
  </property>
</Properties>
</file>